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3GPP TSG-RAN WG4 Meeting # 9</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R4-2110432</w:t>
      </w:r>
      <w:bookmarkStart w:id="6" w:name="_GoBack"/>
      <w:bookmarkEnd w:id="6"/>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lang w:val="en-US" w:eastAsia="zh-CN"/>
        </w:rPr>
        <w:t xml:space="preserve">Discussion on </w:t>
      </w:r>
      <w:r>
        <w:rPr>
          <w:rFonts w:hint="default" w:ascii="Arial" w:hAnsi="Arial" w:cs="Arial"/>
          <w:b w:val="0"/>
          <w:bCs/>
          <w:color w:val="auto"/>
          <w:sz w:val="20"/>
          <w:szCs w:val="20"/>
        </w:rPr>
        <w:t>BCS4</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8.29.2.2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In last meeting, some open issues other than MSD for BCS4 were captured in the WF[1]. Although the WF was not approved in the end, this can be used as starting point for the further studies.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In this meeting, we give some further discussion on some open issues.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2.1 Should BCS4 apply to all combinations, or on a per request basis?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It have been already specified in the WID[2] to i</w:t>
      </w:r>
      <w:r>
        <w:rPr>
          <w:rFonts w:hint="default" w:ascii="Times New Roman" w:hAnsi="Times New Roman" w:eastAsia="宋体" w:cs="Times New Roman"/>
          <w:color w:val="auto"/>
          <w:sz w:val="20"/>
          <w:highlight w:val="none"/>
          <w:lang w:val="en-US" w:eastAsia="zh-CN"/>
        </w:rPr>
        <w:t>ntroduce BCS 4 for SUL, inter-band and intra-band NR-CA. In our understanding, the situation is similar for SUL and inter-band NR CA, since the supported channel bandwidth are defined for each band associated with the corresponding BCS. However, for intra-band NR CA, different with inter-band NR CA, the supported bandwidths are specified for each CC which is restricted by CA bandwidth class. Therefore, it may not feasible to support all possible channel bandwidths for intra-band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We take CA_n41C as an example:</w:t>
      </w:r>
    </w:p>
    <w:tbl>
      <w:tblPr>
        <w:tblStyle w:val="76"/>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w:t>
            </w:r>
          </w:p>
        </w:tc>
        <w:tc>
          <w:tcPr>
            <w:tcW w:w="99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Uplink CA configurations</w:t>
            </w:r>
          </w:p>
        </w:tc>
        <w:tc>
          <w:tcPr>
            <w:tcW w:w="126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08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 xml:space="preserve">Maximum aggregated </w:t>
            </w:r>
            <w:r>
              <w:rPr>
                <w:rFonts w:hint="default" w:ascii="Times New Roman" w:hAnsi="Times New Roman" w:cs="Times New Roman"/>
                <w:color w:val="auto"/>
              </w:rPr>
              <w:br w:type="textWrapping"/>
            </w:r>
            <w:r>
              <w:rPr>
                <w:rFonts w:hint="default" w:ascii="Times New Roman" w:hAnsi="Times New Roman" w:cs="Times New Roman"/>
                <w:color w:val="auto"/>
              </w:rPr>
              <w:t>bandwidth (MHz)</w:t>
            </w:r>
          </w:p>
        </w:tc>
        <w:tc>
          <w:tcPr>
            <w:tcW w:w="1318"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CA_n41C</w:t>
            </w:r>
          </w:p>
        </w:tc>
        <w:tc>
          <w:tcPr>
            <w:tcW w:w="990"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CA_n41C</w:t>
            </w:r>
          </w:p>
        </w:tc>
        <w:tc>
          <w:tcPr>
            <w:tcW w:w="1260" w:type="dxa"/>
            <w:tcBorders>
              <w:top w:val="single" w:color="auto" w:sz="6" w:space="0"/>
              <w:left w:val="single" w:color="auto" w:sz="4"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40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80, 100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r>
              <w:rPr>
                <w:rFonts w:hint="default" w:ascii="Times New Roman" w:hAnsi="Times New Roman" w:cs="Times New Roman"/>
                <w:color w:val="auto"/>
              </w:rPr>
              <w:t>180</w:t>
            </w:r>
          </w:p>
        </w:tc>
        <w:tc>
          <w:tcPr>
            <w:tcW w:w="1318"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990"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260" w:type="dxa"/>
            <w:tcBorders>
              <w:top w:val="single" w:color="auto" w:sz="6" w:space="0"/>
              <w:left w:val="single" w:color="auto" w:sz="4"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50, 60, 80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60, 80, 100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p>
        </w:tc>
        <w:tc>
          <w:tcPr>
            <w:tcW w:w="1318"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990"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260" w:type="dxa"/>
            <w:tcBorders>
              <w:top w:val="single" w:color="auto" w:sz="6" w:space="0"/>
              <w:left w:val="single" w:color="auto" w:sz="4"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10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top w:val="single" w:color="auto" w:sz="4"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r>
              <w:rPr>
                <w:rFonts w:hint="default" w:ascii="Times New Roman" w:hAnsi="Times New Roman" w:eastAsia="Yu Mincho" w:cs="Times New Roman"/>
                <w:color w:val="auto"/>
                <w:lang w:eastAsia="ja-JP"/>
              </w:rPr>
              <w:t>190</w:t>
            </w:r>
          </w:p>
        </w:tc>
        <w:tc>
          <w:tcPr>
            <w:tcW w:w="1318" w:type="dxa"/>
            <w:tcBorders>
              <w:top w:val="single" w:color="auto" w:sz="4" w:space="0"/>
              <w:left w:val="single" w:color="auto" w:sz="6"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990" w:type="dxa"/>
            <w:tcBorders>
              <w:top w:val="nil"/>
              <w:left w:val="single" w:color="auto" w:sz="6" w:space="0"/>
              <w:bottom w:val="single" w:color="auto" w:sz="4"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15, 20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90, 100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single" w:color="auto" w:sz="4"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990" w:type="dxa"/>
            <w:tcBorders>
              <w:top w:val="single" w:color="auto" w:sz="4" w:space="0"/>
              <w:left w:val="single" w:color="auto" w:sz="6" w:space="0"/>
              <w:bottom w:val="single" w:color="auto" w:sz="4"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40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80, 90, 100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990" w:type="dxa"/>
            <w:tcBorders>
              <w:top w:val="single" w:color="auto" w:sz="4"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50, 60, 80, 90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60, 80, 90, 100</w:t>
            </w:r>
          </w:p>
        </w:tc>
        <w:tc>
          <w:tcPr>
            <w:tcW w:w="1170"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c>
          <w:tcPr>
            <w:tcW w:w="1080" w:type="dxa"/>
            <w:tcBorders>
              <w:left w:val="single" w:color="auto" w:sz="6" w:space="0"/>
              <w:bottom w:val="single" w:color="auto" w:sz="6" w:space="0"/>
              <w:right w:val="single" w:color="auto" w:sz="6"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6"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For class C, the range for the aggregated bandwidth is </w:t>
      </w:r>
      <w:r>
        <w:rPr>
          <w:rFonts w:hint="default" w:ascii="Times New Roman" w:hAnsi="Times New Roman" w:cs="Times New Roman"/>
          <w:sz w:val="20"/>
          <w:lang w:val="en-US"/>
        </w:rPr>
        <w:t>100 MHz &lt; BW</w:t>
      </w:r>
      <w:r>
        <w:rPr>
          <w:rFonts w:hint="default" w:ascii="Times New Roman" w:hAnsi="Times New Roman" w:cs="Times New Roman"/>
          <w:sz w:val="20"/>
          <w:vertAlign w:val="subscript"/>
        </w:rPr>
        <w:t>Channel_CA</w:t>
      </w:r>
      <w:r>
        <w:rPr>
          <w:rFonts w:hint="default" w:ascii="Times New Roman" w:hAnsi="Times New Roman" w:cs="Times New Roman"/>
          <w:sz w:val="20"/>
          <w:lang w:val="en-US"/>
        </w:rPr>
        <w:t xml:space="preserve"> ≤ 2 x BW</w:t>
      </w:r>
      <w:r>
        <w:rPr>
          <w:rFonts w:hint="default" w:ascii="Times New Roman" w:hAnsi="Times New Roman" w:cs="Times New Roman"/>
          <w:sz w:val="20"/>
          <w:vertAlign w:val="subscript"/>
        </w:rPr>
        <w:t>Channel,max</w:t>
      </w:r>
      <w:r>
        <w:rPr>
          <w:rFonts w:hint="default" w:ascii="Times New Roman" w:hAnsi="Times New Roman" w:eastAsia="宋体" w:cs="Times New Roman"/>
          <w:sz w:val="20"/>
          <w:vertAlign w:val="subscript"/>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which means some channel bandwidths combination of two CC,such as 10MHz+10MHz, 10MHz+80MHz, etc,  cannot be supported since it is restricted by maximum aggregated bandwidth. For CA_n41C, there are two maximum aggregated bandwidths. In other word, the supported bandwidths for each CC should be explicitly listed</w:t>
      </w:r>
      <w:r>
        <w:rPr>
          <w:rFonts w:hint="eastAsia" w:eastAsia="宋体" w:cs="Times New Roman"/>
          <w:b w:val="0"/>
          <w:bCs w:val="0"/>
          <w:color w:val="auto"/>
          <w:sz w:val="20"/>
          <w:szCs w:val="20"/>
          <w:highlight w:val="none"/>
          <w:lang w:val="en-US" w:eastAsia="zh-CN"/>
        </w:rPr>
        <w:t xml:space="preserve"> to compliance to the maximum aggregated bandwidth restricted by each CA bandwidth class</w:t>
      </w:r>
      <w:r>
        <w:rPr>
          <w:rFonts w:hint="default" w:ascii="Times New Roman" w:hAnsi="Times New Roman" w:eastAsia="宋体" w:cs="Times New Roman"/>
          <w:b w:val="0"/>
          <w:bCs w:val="0"/>
          <w:color w:val="auto"/>
          <w:sz w:val="20"/>
          <w:szCs w:val="20"/>
          <w:highlight w:val="none"/>
          <w:lang w:val="en-US" w:eastAsia="zh-CN"/>
        </w:rPr>
        <w:t>. It may not easy to apply BCS4 for intra-band NR CA. Further studies are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1. How to apply BCS4 for intra-band NR CA need</w:t>
      </w:r>
      <w:r>
        <w:rPr>
          <w:rFonts w:hint="eastAsia" w:eastAsia="宋体" w:cs="Times New Roman"/>
          <w:b/>
          <w:bCs/>
          <w:color w:val="auto"/>
          <w:sz w:val="20"/>
          <w:szCs w:val="20"/>
          <w:highlight w:val="none"/>
          <w:lang w:val="en-US" w:eastAsia="zh-CN"/>
        </w:rPr>
        <w:t>s</w:t>
      </w:r>
      <w:r>
        <w:rPr>
          <w:rFonts w:hint="default" w:ascii="Times New Roman" w:hAnsi="Times New Roman" w:eastAsia="宋体" w:cs="Times New Roman"/>
          <w:b/>
          <w:bCs/>
          <w:color w:val="auto"/>
          <w:sz w:val="20"/>
          <w:szCs w:val="20"/>
          <w:highlight w:val="none"/>
          <w:lang w:val="en-US" w:eastAsia="zh-CN"/>
        </w:rPr>
        <w:t xml:space="preserve"> further study.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According to the previous discussion in the past RAN4 meeting, it seems discussions are mainly focus on the inter-band NR CA. Comparing with intra-band NR CA, the situation is simple for inter-band NR CA since the supported channel bandwidth for each band are pending on the signal band, which makes feasible to support all possible channel bandwidths by using BCS4 instead request the configurations again and again when new channel bandwidths are introduced in single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In our understanding, there are two cases should be taken into account.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Case 1. BCS4 for existing configuration where traditional BCSs are existed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Case 2. BCS4 for brand new configuration where traditional BCSs are not existed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For case 1, it is straightforward but signalling issues should be considered. The discussions on signalling are underway, companies raise some concerns that if there are no new signallings are introduced, IoDT issue would become a problem which means some premature channel bandwidths may not be need to be tested, and without new signaling, the BCS4 will somehow enlarge the traditional BCS function. The main idea of ‘BCS4+new signalling’ aims to simulate the traditional BCS function.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However, one of the guidelines captured in the revised WID is: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iCs/>
          <w:color w:val="auto"/>
          <w:sz w:val="20"/>
          <w:szCs w:val="20"/>
          <w:highlight w:val="none"/>
          <w:lang w:val="en-US" w:eastAsia="zh-CN"/>
        </w:rPr>
      </w:pPr>
      <w:r>
        <w:rPr>
          <w:rFonts w:hint="default" w:eastAsia="宋体" w:cs="Times New Roman"/>
          <w:b w:val="0"/>
          <w:bCs w:val="0"/>
          <w:i/>
          <w:iCs/>
          <w:color w:val="auto"/>
          <w:sz w:val="20"/>
          <w:szCs w:val="20"/>
          <w:highlight w:val="none"/>
          <w:lang w:val="en-US" w:eastAsia="zh-CN"/>
        </w:rPr>
        <w:t xml:space="preserve">Guideline 4: Until BCS4 CR(s) are agreed, TPs and Draft CRs should include the BCSs that were requested for already requested band combinations. After BCS4 CR(s) are agreed, it should be </w:t>
      </w:r>
      <w:r>
        <w:rPr>
          <w:rFonts w:hint="default" w:eastAsia="宋体" w:cs="Times New Roman"/>
          <w:b w:val="0"/>
          <w:bCs w:val="0"/>
          <w:i/>
          <w:iCs/>
          <w:color w:val="auto"/>
          <w:sz w:val="20"/>
          <w:szCs w:val="20"/>
          <w:highlight w:val="yellow"/>
          <w:lang w:val="en-US" w:eastAsia="zh-CN"/>
        </w:rPr>
        <w:t>up to the proponents</w:t>
      </w:r>
      <w:r>
        <w:rPr>
          <w:rFonts w:hint="default" w:eastAsia="宋体" w:cs="Times New Roman"/>
          <w:b w:val="0"/>
          <w:bCs w:val="0"/>
          <w:i/>
          <w:iCs/>
          <w:color w:val="auto"/>
          <w:sz w:val="20"/>
          <w:szCs w:val="20"/>
          <w:highlight w:val="none"/>
          <w:lang w:val="en-US" w:eastAsia="zh-CN"/>
        </w:rPr>
        <w:t xml:space="preserve"> whether TPs and draft CRs include the BCS(s) that were requested and recorded in the WID, or if the TPs and draft CRs only include BCS4. </w:t>
      </w:r>
      <w:r>
        <w:rPr>
          <w:rFonts w:hint="default" w:eastAsia="宋体" w:cs="Times New Roman"/>
          <w:b w:val="0"/>
          <w:bCs w:val="0"/>
          <w:i/>
          <w:iCs/>
          <w:color w:val="auto"/>
          <w:sz w:val="20"/>
          <w:szCs w:val="20"/>
          <w:highlight w:val="yellow"/>
          <w:lang w:val="en-US" w:eastAsia="zh-CN"/>
        </w:rPr>
        <w:t>If BCS4 is preferred, the exceptional case of inconsistent information between the basket WID and the TPs/draft CRs is acceptable until the WID is fixed accordingly</w:t>
      </w:r>
      <w:r>
        <w:rPr>
          <w:rFonts w:hint="default" w:eastAsia="宋体" w:cs="Times New Roman"/>
          <w:b w:val="0"/>
          <w:bCs w:val="0"/>
          <w:i/>
          <w:iCs/>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According to guideline 4, the last sentences is for the case where </w:t>
      </w:r>
      <w:r>
        <w:rPr>
          <w:rFonts w:ascii="Times New Roman" w:hAnsi="Times New Roman" w:eastAsia="Times New Roman" w:cs="Times New Roman"/>
          <w:sz w:val="20"/>
          <w:lang w:eastAsia="ko-KR"/>
        </w:rPr>
        <w:t>originally requested BCS</w:t>
      </w:r>
      <w:r>
        <w:rPr>
          <w:rFonts w:hint="eastAsia" w:ascii="Times New Roman" w:hAnsi="Times New Roman" w:eastAsia="宋体" w:cs="Times New Roman"/>
          <w:sz w:val="20"/>
          <w:lang w:val="en-US" w:eastAsia="zh-CN"/>
        </w:rPr>
        <w:t xml:space="preserve">s are used for the band combinations in basket WIDs but BCS4 is used in the TPs and draft CRs, which means </w:t>
      </w:r>
      <w:r>
        <w:rPr>
          <w:rFonts w:hint="eastAsia" w:eastAsia="宋体" w:cs="Times New Roman"/>
          <w:b w:val="0"/>
          <w:bCs w:val="0"/>
          <w:color w:val="auto"/>
          <w:sz w:val="20"/>
          <w:szCs w:val="20"/>
          <w:highlight w:val="none"/>
          <w:lang w:val="en-US" w:eastAsia="zh-CN"/>
        </w:rPr>
        <w:t xml:space="preserve">it implies the BCS4 can be applied to all combinations.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vertAlign w:val="baseline"/>
          <w:lang w:val="en-US" w:eastAsia="zh-CN"/>
        </w:rPr>
        <w:t xml:space="preserve">Observation 1: For existing configurations, the guideline in the revised WID </w:t>
      </w:r>
      <w:r>
        <w:rPr>
          <w:rFonts w:hint="eastAsia" w:eastAsia="宋体" w:cs="Times New Roman"/>
          <w:b/>
          <w:bCs/>
          <w:color w:val="auto"/>
          <w:sz w:val="20"/>
          <w:szCs w:val="20"/>
          <w:highlight w:val="none"/>
          <w:lang w:val="en-US" w:eastAsia="zh-CN"/>
        </w:rPr>
        <w:t>implies the BCS4 can be applied to all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For case 2, it is no doubt that the proponent can request their configuration only with BCS4, which means BCS4 is applied per request basis</w:t>
      </w:r>
      <w:r>
        <w:rPr>
          <w:rFonts w:hint="eastAsia" w:eastAsia="宋体" w:cs="Times New Roman"/>
          <w:b w:val="0"/>
          <w:bCs w:val="0"/>
          <w:color w:val="auto"/>
          <w:sz w:val="20"/>
          <w:szCs w:val="20"/>
          <w:highlight w:val="none"/>
          <w:lang w:val="en-US" w:eastAsia="zh-CN"/>
        </w:rPr>
        <w:t>. It should be noted the traditional BCSs are not excluded.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lang w:val="en-US" w:eastAsia="zh-CN"/>
        </w:rPr>
        <w:t>- For existing band configuration, BCS4 can be applied to all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 For brand new band configuration, </w:t>
      </w:r>
      <w:r>
        <w:rPr>
          <w:rFonts w:hint="default" w:ascii="Times New Roman" w:hAnsi="Times New Roman" w:eastAsia="宋体" w:cs="Times New Roman"/>
          <w:b/>
          <w:bCs/>
          <w:color w:val="auto"/>
          <w:sz w:val="20"/>
          <w:szCs w:val="20"/>
          <w:highlight w:val="none"/>
          <w:lang w:val="en-US" w:eastAsia="zh-CN"/>
        </w:rPr>
        <w:t>BCS4 should be applied on a per request basis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2.2 BCS4 in the configuration table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We think the issue should be decoupled with the above. Since the current discuss</w:t>
      </w:r>
      <w:r>
        <w:rPr>
          <w:rFonts w:hint="eastAsia" w:ascii="Times New Roman" w:hAnsi="Times New Roman" w:eastAsia="宋体" w:cs="Times New Roman"/>
          <w:b w:val="0"/>
          <w:bCs w:val="0"/>
          <w:color w:val="auto"/>
          <w:sz w:val="20"/>
          <w:szCs w:val="20"/>
          <w:highlight w:val="none"/>
          <w:lang w:val="en-US" w:eastAsia="zh-CN"/>
        </w:rPr>
        <w:t>i</w:t>
      </w:r>
      <w:r>
        <w:rPr>
          <w:rFonts w:hint="default" w:ascii="Times New Roman" w:hAnsi="Times New Roman" w:eastAsia="宋体" w:cs="Times New Roman"/>
          <w:b w:val="0"/>
          <w:bCs w:val="0"/>
          <w:color w:val="auto"/>
          <w:sz w:val="20"/>
          <w:szCs w:val="20"/>
          <w:highlight w:val="none"/>
          <w:lang w:val="en-US" w:eastAsia="zh-CN"/>
        </w:rPr>
        <w:t>ons are mainly focus on the case 1 as above</w:t>
      </w:r>
      <w:r>
        <w:rPr>
          <w:rFonts w:hint="eastAsia" w:eastAsia="宋体" w:cs="Times New Roman"/>
          <w:b w:val="0"/>
          <w:bCs w:val="0"/>
          <w:color w:val="auto"/>
          <w:sz w:val="20"/>
          <w:szCs w:val="20"/>
          <w:highlight w:val="none"/>
          <w:lang w:val="en-US" w:eastAsia="zh-CN"/>
        </w:rPr>
        <w:t>, i.e. for existing configurations</w:t>
      </w:r>
      <w:r>
        <w:rPr>
          <w:rFonts w:hint="default" w:ascii="Times New Roman" w:hAnsi="Times New Roman"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 However, we also need to consider the case 2, i.e. brand new configurations requested in future.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First, let</w:t>
      </w:r>
      <w:r>
        <w:rPr>
          <w:rFonts w:hint="default" w:ascii="Times New Roman" w:hAnsi="Times New Roman"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s review the impacted sections when a completed configurations are introduced in the spec, shown in table 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eastAsia" w:ascii="Times New Roman" w:hAnsi="Times New Roman" w:eastAsia="宋体" w:cs="Times New Roman"/>
          <w:b w:val="0"/>
          <w:bCs w:val="0"/>
          <w:color w:val="auto"/>
          <w:sz w:val="20"/>
          <w:szCs w:val="20"/>
          <w:highlight w:val="none"/>
          <w:lang w:val="en-US" w:eastAsia="zh-CN"/>
        </w:rPr>
        <w:t>able 1</w:t>
      </w:r>
      <w:r>
        <w:rPr>
          <w:rFonts w:hint="eastAsia"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I</w:t>
      </w:r>
      <w:r>
        <w:rPr>
          <w:rFonts w:hint="eastAsia" w:ascii="Times New Roman" w:hAnsi="Times New Roman" w:eastAsia="宋体" w:cs="Times New Roman"/>
          <w:b w:val="0"/>
          <w:bCs w:val="0"/>
          <w:color w:val="auto"/>
          <w:sz w:val="20"/>
          <w:szCs w:val="20"/>
          <w:highlight w:val="none"/>
          <w:lang w:val="en-US" w:eastAsia="zh-CN"/>
        </w:rPr>
        <w:t>mpacted sections</w:t>
      </w:r>
      <w:r>
        <w:rPr>
          <w:rFonts w:hint="eastAsia" w:eastAsia="宋体" w:cs="Times New Roman"/>
          <w:b w:val="0"/>
          <w:bCs w:val="0"/>
          <w:color w:val="auto"/>
          <w:sz w:val="20"/>
          <w:szCs w:val="20"/>
          <w:highlight w:val="none"/>
          <w:lang w:val="en-US" w:eastAsia="zh-CN"/>
        </w:rPr>
        <w:t xml:space="preserve"> (2 bands)</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lang w:val="en-US" w:eastAsia="zh-CN"/>
              </w:rPr>
              <w:t>S</w:t>
            </w:r>
            <w:r>
              <w:rPr>
                <w:rFonts w:hint="eastAsia" w:ascii="Times New Roman" w:hAnsi="Times New Roman" w:eastAsia="宋体" w:cs="Times New Roman"/>
                <w:b w:val="0"/>
                <w:bCs w:val="0"/>
                <w:color w:val="auto"/>
                <w:sz w:val="20"/>
                <w:szCs w:val="20"/>
                <w:highlight w:val="none"/>
                <w:lang w:val="en-US" w:eastAsia="zh-CN"/>
              </w:rPr>
              <w:t xml:space="preserve">ections </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Information provided</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jc w:val="center"/>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pStyle w:val="168"/>
              <w:keepNext/>
              <w:keepLines/>
              <w:pageBreakBefore w:val="0"/>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color w:val="auto"/>
                <w:kern w:val="0"/>
                <w:sz w:val="20"/>
                <w:highlight w:val="none"/>
                <w:lang w:val="en-US" w:eastAsia="zh-CN"/>
              </w:rPr>
              <w:t>Table 5.2A.2.1-1: Inter-band CA operating bands involving FR1 (two bands)</w:t>
            </w:r>
          </w:p>
        </w:tc>
        <w:tc>
          <w:tcPr>
            <w:tcW w:w="3286" w:type="dxa"/>
          </w:tcPr>
          <w:p>
            <w:pPr>
              <w:keepNext/>
              <w:keepLines/>
              <w:pageBreakBefore w:val="0"/>
              <w:widowControl w:val="0"/>
              <w:numPr>
                <w:ilvl w:val="0"/>
                <w:numId w:val="13"/>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The constitute of  bands</w:t>
            </w:r>
            <w:r>
              <w:rPr>
                <w:rFonts w:hint="eastAsia" w:ascii="Times New Roman" w:hAnsi="Times New Roman" w:eastAsia="宋体" w:cs="Times New Roman"/>
                <w:b w:val="0"/>
                <w:bCs w:val="0"/>
                <w:color w:val="auto"/>
                <w:sz w:val="20"/>
                <w:szCs w:val="20"/>
                <w:highlight w:val="none"/>
                <w:vertAlign w:val="baseline"/>
                <w:lang w:val="en-US" w:eastAsia="zh-CN"/>
              </w:rPr>
              <w:t xml:space="preserve"> for DL CA band combination.</w:t>
            </w:r>
          </w:p>
          <w:p>
            <w:pPr>
              <w:keepNext/>
              <w:keepLines/>
              <w:pageBreakBefore w:val="0"/>
              <w:widowControl w:val="0"/>
              <w:numPr>
                <w:ilvl w:val="0"/>
                <w:numId w:val="13"/>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Simultaneous Rx/Tx operation</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No DL/UL configurations information can be obtained.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pStyle w:val="168"/>
              <w:keepNext/>
              <w:keepLines/>
              <w:pageBreakBefore w:val="0"/>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kern w:val="0"/>
                <w:sz w:val="20"/>
                <w:highlight w:val="none"/>
                <w:lang w:val="en-US" w:eastAsia="zh-CN"/>
              </w:rPr>
              <w:t>Table 5.5A.3.1-1: NR CA configurations and bandwidth combinations sets defined for inter-band CA (two bands)</w:t>
            </w:r>
          </w:p>
        </w:tc>
        <w:tc>
          <w:tcPr>
            <w:tcW w:w="3286" w:type="dxa"/>
          </w:tcPr>
          <w:p>
            <w:pPr>
              <w:keepNext/>
              <w:keepLines/>
              <w:pageBreakBefore w:val="0"/>
              <w:widowControl w:val="0"/>
              <w:numPr>
                <w:ilvl w:val="0"/>
                <w:numId w:val="14"/>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DL configuration</w:t>
            </w:r>
          </w:p>
          <w:p>
            <w:pPr>
              <w:keepNext/>
              <w:keepLines/>
              <w:pageBreakBefore w:val="0"/>
              <w:widowControl w:val="0"/>
              <w:numPr>
                <w:ilvl w:val="0"/>
                <w:numId w:val="14"/>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UL configuration</w:t>
            </w:r>
          </w:p>
          <w:p>
            <w:pPr>
              <w:keepNext/>
              <w:keepLines/>
              <w:pageBreakBefore w:val="0"/>
              <w:widowControl w:val="0"/>
              <w:numPr>
                <w:ilvl w:val="0"/>
                <w:numId w:val="14"/>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BCS information associated with the supported CBWs</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yellow"/>
                <w:vertAlign w:val="baseline"/>
                <w:lang w:val="en-US" w:eastAsia="zh-CN"/>
              </w:rPr>
              <w:t>Both DL/UL configurations information can be obtained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3285" w:type="dxa"/>
          </w:tcPr>
          <w:p>
            <w:pPr>
              <w:pStyle w:val="168"/>
              <w:keepNext/>
              <w:keepLines/>
              <w:pageBreakBefore w:val="0"/>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color w:val="auto"/>
                <w:kern w:val="0"/>
                <w:sz w:val="20"/>
                <w:highlight w:val="none"/>
                <w:lang w:val="en-US" w:eastAsia="zh-CN"/>
              </w:rPr>
              <w:t>Table 6.2A.1.3-1 UE Power Class for uplink inter-band CA (two bands)</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Only for UL CA</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default" w:ascii="Times New Roman" w:hAnsi="Times New Roman" w:eastAsia="宋体" w:cs="Times New Roman"/>
                <w:b w:val="0"/>
                <w:bCs w:val="0"/>
                <w:color w:val="auto"/>
                <w:sz w:val="20"/>
                <w:szCs w:val="20"/>
                <w:highlight w:val="none"/>
                <w:vertAlign w:val="baseline"/>
                <w:lang w:val="en-US" w:eastAsia="zh-CN"/>
              </w:rPr>
              <w:t xml:space="preserve">configurations </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Only UL CA configurations information can be obtained.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pStyle w:val="168"/>
              <w:keepNext/>
              <w:keepLines/>
              <w:pageBreakBefore w:val="0"/>
              <w:kinsoku/>
              <w:wordWrap/>
              <w:overflowPunct/>
              <w:topLinePunct w:val="0"/>
              <w:autoSpaceDE/>
              <w:autoSpaceDN/>
              <w:bidi w:val="0"/>
              <w:adjustRightInd/>
              <w:snapToGrid/>
              <w:jc w:val="left"/>
              <w:textAlignment w:val="auto"/>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cs="Times New Roman"/>
                <w:b w:val="0"/>
                <w:bCs/>
                <w:color w:val="auto"/>
                <w:sz w:val="20"/>
                <w:szCs w:val="20"/>
              </w:rPr>
              <w:t>ΔT</w:t>
            </w:r>
            <w:r>
              <w:rPr>
                <w:rStyle w:val="232"/>
                <w:rFonts w:hint="default" w:ascii="Times New Roman" w:hAnsi="Times New Roman" w:cs="Times New Roman"/>
                <w:b w:val="0"/>
                <w:bCs/>
                <w:color w:val="auto"/>
                <w:sz w:val="20"/>
                <w:szCs w:val="20"/>
                <w:vertAlign w:val="subscript"/>
              </w:rPr>
              <w:t>IB,c</w:t>
            </w:r>
            <w:r>
              <w:rPr>
                <w:rFonts w:hint="default" w:ascii="Times New Roman" w:hAnsi="Times New Roman" w:cs="Times New Roman"/>
                <w:b w:val="0"/>
                <w:bCs/>
                <w:color w:val="auto"/>
                <w:sz w:val="20"/>
                <w:szCs w:val="20"/>
              </w:rPr>
              <w:t xml:space="preserve"> </w:t>
            </w:r>
            <w:r>
              <w:rPr>
                <w:rFonts w:hint="default" w:ascii="Times New Roman" w:hAnsi="Times New Roman" w:eastAsia="宋体" w:cs="Times New Roman"/>
                <w:b w:val="0"/>
                <w:bCs/>
                <w:color w:val="auto"/>
                <w:sz w:val="20"/>
                <w:szCs w:val="20"/>
                <w:lang w:val="en-US" w:eastAsia="zh-CN"/>
              </w:rPr>
              <w:t xml:space="preserve">and </w:t>
            </w:r>
            <w:r>
              <w:rPr>
                <w:rFonts w:hint="default" w:ascii="Times New Roman" w:hAnsi="Times New Roman" w:cs="Times New Roman"/>
                <w:b w:val="0"/>
                <w:bCs/>
                <w:color w:val="auto"/>
                <w:sz w:val="20"/>
                <w:szCs w:val="20"/>
              </w:rPr>
              <w:t>Δ</w:t>
            </w:r>
            <w:r>
              <w:rPr>
                <w:rFonts w:hint="default" w:ascii="Times New Roman" w:hAnsi="Times New Roman" w:eastAsia="宋体" w:cs="Times New Roman"/>
                <w:b w:val="0"/>
                <w:bCs/>
                <w:color w:val="auto"/>
                <w:sz w:val="20"/>
                <w:szCs w:val="20"/>
                <w:lang w:val="en-US" w:eastAsia="zh-CN"/>
              </w:rPr>
              <w:t>R</w:t>
            </w:r>
            <w:r>
              <w:rPr>
                <w:rStyle w:val="232"/>
                <w:rFonts w:hint="default" w:ascii="Times New Roman" w:hAnsi="Times New Roman" w:cs="Times New Roman"/>
                <w:b w:val="0"/>
                <w:bCs/>
                <w:color w:val="auto"/>
                <w:sz w:val="20"/>
                <w:szCs w:val="20"/>
                <w:vertAlign w:val="subscript"/>
              </w:rPr>
              <w:t>IB,c</w:t>
            </w:r>
            <w:r>
              <w:rPr>
                <w:rFonts w:hint="default" w:ascii="Times New Roman" w:hAnsi="Times New Roman" w:cs="Times New Roman"/>
                <w:b w:val="0"/>
                <w:bCs/>
                <w:color w:val="auto"/>
                <w:sz w:val="20"/>
                <w:szCs w:val="20"/>
              </w:rPr>
              <w:t xml:space="preserve"> </w:t>
            </w:r>
            <w:r>
              <w:rPr>
                <w:rFonts w:hint="default" w:ascii="Times New Roman" w:hAnsi="Times New Roman" w:eastAsia="宋体" w:cs="Times New Roman"/>
                <w:b w:val="0"/>
                <w:bCs/>
                <w:color w:val="auto"/>
                <w:sz w:val="20"/>
                <w:szCs w:val="20"/>
                <w:lang w:val="en-US" w:eastAsia="zh-CN"/>
              </w:rPr>
              <w:t>tables</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eastAsia" w:ascii="Times New Roman" w:hAnsi="Times New Roman" w:eastAsia="宋体" w:cs="Times New Roman"/>
                <w:b w:val="0"/>
                <w:bCs w:val="0"/>
                <w:color w:val="auto"/>
                <w:sz w:val="20"/>
                <w:szCs w:val="20"/>
                <w:highlight w:val="none"/>
                <w:vertAlign w:val="baseline"/>
                <w:lang w:val="en-US" w:eastAsia="zh-CN"/>
              </w:rPr>
              <w:t xml:space="preserve">Values </w:t>
            </w:r>
            <w:r>
              <w:rPr>
                <w:rFonts w:hint="default" w:ascii="Times New Roman" w:hAnsi="Times New Roman" w:eastAsia="宋体" w:cs="Times New Roman"/>
                <w:b w:val="0"/>
                <w:bCs w:val="0"/>
                <w:color w:val="auto"/>
                <w:sz w:val="20"/>
                <w:szCs w:val="20"/>
                <w:highlight w:val="none"/>
                <w:vertAlign w:val="baseline"/>
                <w:lang w:val="en-US" w:eastAsia="zh-CN"/>
              </w:rPr>
              <w:t xml:space="preserve">for </w:t>
            </w:r>
            <w:r>
              <w:rPr>
                <w:rFonts w:hint="eastAsia" w:ascii="Times New Roman" w:hAnsi="Times New Roman" w:eastAsia="宋体" w:cs="Times New Roman"/>
                <w:b w:val="0"/>
                <w:bCs w:val="0"/>
                <w:color w:val="auto"/>
                <w:sz w:val="20"/>
                <w:szCs w:val="20"/>
                <w:highlight w:val="none"/>
                <w:vertAlign w:val="baseline"/>
                <w:lang w:val="en-US" w:eastAsia="zh-CN"/>
              </w:rPr>
              <w:t xml:space="preserve">DL CA </w:t>
            </w:r>
            <w:r>
              <w:rPr>
                <w:rFonts w:hint="default" w:ascii="Times New Roman" w:hAnsi="Times New Roman" w:eastAsia="宋体" w:cs="Times New Roman"/>
                <w:b w:val="0"/>
                <w:bCs w:val="0"/>
                <w:color w:val="auto"/>
                <w:sz w:val="20"/>
                <w:szCs w:val="20"/>
                <w:highlight w:val="none"/>
                <w:vertAlign w:val="baseline"/>
                <w:lang w:val="en-US" w:eastAsia="zh-CN"/>
              </w:rPr>
              <w:t>band combination</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No DL/UL configurations information can be obtained. (even when the value</w:t>
            </w:r>
            <w:r>
              <w:rPr>
                <w:rFonts w:hint="eastAsia" w:eastAsia="宋体" w:cs="Times New Roman"/>
                <w:b w:val="0"/>
                <w:bCs w:val="0"/>
                <w:color w:val="auto"/>
                <w:sz w:val="20"/>
                <w:szCs w:val="20"/>
                <w:highlight w:val="none"/>
                <w:vertAlign w:val="baseline"/>
                <w:lang w:val="en-US" w:eastAsia="zh-CN"/>
              </w:rPr>
              <w:t>s</w:t>
            </w:r>
            <w:r>
              <w:rPr>
                <w:rFonts w:hint="default" w:ascii="Times New Roman" w:hAnsi="Times New Roman" w:eastAsia="宋体" w:cs="Times New Roman"/>
                <w:b w:val="0"/>
                <w:bCs w:val="0"/>
                <w:color w:val="auto"/>
                <w:sz w:val="20"/>
                <w:szCs w:val="20"/>
                <w:highlight w:val="none"/>
                <w:vertAlign w:val="baseline"/>
                <w:lang w:val="en-US" w:eastAsia="zh-CN"/>
              </w:rPr>
              <w:t>=0, band combination will not be listed in the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pStyle w:val="6"/>
              <w:keepNext/>
              <w:keepLines/>
              <w:pageBreakBefore w:val="0"/>
              <w:numPr>
                <w:ilvl w:val="-1"/>
                <w:numId w:val="0"/>
              </w:numPr>
              <w:tabs>
                <w:tab w:val="clear" w:pos="1008"/>
              </w:tabs>
              <w:kinsoku/>
              <w:wordWrap/>
              <w:overflowPunct/>
              <w:topLinePunct w:val="0"/>
              <w:autoSpaceDE/>
              <w:autoSpaceDN/>
              <w:bidi w:val="0"/>
              <w:adjustRightInd/>
              <w:snapToGrid/>
              <w:ind w:left="0" w:firstLine="0"/>
              <w:textAlignment w:val="auto"/>
              <w:rPr>
                <w:rFonts w:hint="default" w:ascii="Times New Roman" w:hAnsi="Times New Roman" w:eastAsia="宋体" w:cs="Times New Roman"/>
                <w:b w:val="0"/>
                <w:bCs w:val="0"/>
                <w:color w:val="auto"/>
                <w:sz w:val="20"/>
                <w:szCs w:val="20"/>
                <w:highlight w:val="none"/>
                <w:vertAlign w:val="baseline"/>
                <w:lang w:val="en-US" w:eastAsia="zh-CN"/>
              </w:rPr>
            </w:pPr>
            <w:bookmarkStart w:id="3" w:name="_Toc61367638"/>
            <w:bookmarkStart w:id="4" w:name="_Toc68230970"/>
            <w:bookmarkStart w:id="5" w:name="_Toc61373021"/>
            <w:r>
              <w:rPr>
                <w:rFonts w:hint="default" w:ascii="Times New Roman" w:hAnsi="Times New Roman" w:eastAsia="宋体" w:cs="Times New Roman"/>
                <w:color w:val="auto"/>
                <w:sz w:val="20"/>
                <w:highlight w:val="none"/>
                <w:lang w:val="en-US" w:eastAsia="zh-CN"/>
              </w:rPr>
              <w:t>6.5A.3.2.3</w:t>
            </w:r>
            <w:r>
              <w:rPr>
                <w:rFonts w:hint="default" w:ascii="Times New Roman" w:hAnsi="Times New Roman" w:eastAsia="宋体" w:cs="Times New Roman"/>
                <w:color w:val="auto"/>
                <w:sz w:val="20"/>
                <w:highlight w:val="none"/>
                <w:lang w:val="en-US" w:eastAsia="zh-CN"/>
              </w:rPr>
              <w:tab/>
            </w:r>
            <w:r>
              <w:rPr>
                <w:rFonts w:hint="default" w:ascii="Times New Roman" w:hAnsi="Times New Roman" w:eastAsia="宋体" w:cs="Times New Roman"/>
                <w:color w:val="auto"/>
                <w:sz w:val="20"/>
                <w:highlight w:val="none"/>
                <w:lang w:val="en-US" w:eastAsia="zh-CN"/>
              </w:rPr>
              <w:t>Spurious emissions for UE co-existence for Inter-band CA</w:t>
            </w:r>
            <w:bookmarkEnd w:id="3"/>
            <w:bookmarkEnd w:id="4"/>
            <w:bookmarkEnd w:id="5"/>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Protect bands only for UL CA</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default" w:ascii="Times New Roman" w:hAnsi="Times New Roman" w:eastAsia="宋体" w:cs="Times New Roman"/>
                <w:b w:val="0"/>
                <w:bCs w:val="0"/>
                <w:color w:val="auto"/>
                <w:sz w:val="20"/>
                <w:szCs w:val="20"/>
                <w:highlight w:val="none"/>
                <w:vertAlign w:val="baseline"/>
                <w:lang w:val="en-US" w:eastAsia="zh-CN"/>
              </w:rPr>
              <w:t>band combination</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No DL/UL configurations information can be obtained.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MSD tables</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eastAsia" w:ascii="Times New Roman" w:hAnsi="Times New Roman" w:eastAsia="宋体" w:cs="Times New Roman"/>
                <w:b w:val="0"/>
                <w:bCs w:val="0"/>
                <w:color w:val="auto"/>
                <w:sz w:val="20"/>
                <w:szCs w:val="20"/>
                <w:highlight w:val="none"/>
                <w:vertAlign w:val="baseline"/>
                <w:lang w:val="en-US" w:eastAsia="zh-CN"/>
              </w:rPr>
              <w:t xml:space="preserve">Values </w:t>
            </w:r>
            <w:r>
              <w:rPr>
                <w:rFonts w:hint="default" w:ascii="Times New Roman" w:hAnsi="Times New Roman" w:eastAsia="宋体" w:cs="Times New Roman"/>
                <w:b w:val="0"/>
                <w:bCs w:val="0"/>
                <w:color w:val="auto"/>
                <w:sz w:val="20"/>
                <w:szCs w:val="20"/>
                <w:highlight w:val="none"/>
                <w:vertAlign w:val="baseline"/>
                <w:lang w:val="en-US" w:eastAsia="zh-CN"/>
              </w:rPr>
              <w:t xml:space="preserve">for </w:t>
            </w:r>
            <w:r>
              <w:rPr>
                <w:rFonts w:hint="eastAsia" w:ascii="Times New Roman" w:hAnsi="Times New Roman" w:eastAsia="宋体" w:cs="Times New Roman"/>
                <w:b w:val="0"/>
                <w:bCs w:val="0"/>
                <w:color w:val="auto"/>
                <w:sz w:val="20"/>
                <w:szCs w:val="20"/>
                <w:highlight w:val="none"/>
                <w:vertAlign w:val="baseline"/>
                <w:lang w:val="en-US" w:eastAsia="zh-CN"/>
              </w:rPr>
              <w:t xml:space="preserve">DL </w:t>
            </w:r>
            <w:r>
              <w:rPr>
                <w:rFonts w:hint="eastAsia" w:eastAsia="宋体" w:cs="Times New Roman"/>
                <w:b w:val="0"/>
                <w:bCs w:val="0"/>
                <w:color w:val="auto"/>
                <w:sz w:val="20"/>
                <w:szCs w:val="20"/>
                <w:highlight w:val="none"/>
                <w:vertAlign w:val="baseline"/>
                <w:lang w:val="en-US" w:eastAsia="zh-CN"/>
              </w:rPr>
              <w:t xml:space="preserve">CA </w:t>
            </w:r>
            <w:r>
              <w:rPr>
                <w:rFonts w:hint="default" w:ascii="Times New Roman" w:hAnsi="Times New Roman" w:eastAsia="宋体" w:cs="Times New Roman"/>
                <w:b w:val="0"/>
                <w:bCs w:val="0"/>
                <w:color w:val="auto"/>
                <w:sz w:val="20"/>
                <w:szCs w:val="20"/>
                <w:highlight w:val="none"/>
                <w:vertAlign w:val="baseline"/>
                <w:lang w:val="en-US" w:eastAsia="zh-CN"/>
              </w:rPr>
              <w:t>band combination</w:t>
            </w:r>
          </w:p>
        </w:tc>
        <w:tc>
          <w:tcPr>
            <w:tcW w:w="3286"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No DL/UL configurations information can be obtained.</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vertAlign w:val="baseline"/>
          <w:lang w:val="en-US" w:eastAsia="zh-CN"/>
        </w:rPr>
      </w:pPr>
      <w:r>
        <w:rPr>
          <w:rFonts w:hint="eastAsia" w:ascii="Times New Roman" w:hAnsi="Times New Roman" w:eastAsia="宋体" w:cs="Times New Roman"/>
          <w:b w:val="0"/>
          <w:bCs w:val="0"/>
          <w:color w:val="auto"/>
          <w:sz w:val="20"/>
          <w:szCs w:val="20"/>
          <w:highlight w:val="none"/>
          <w:lang w:val="en-US" w:eastAsia="zh-CN"/>
        </w:rPr>
        <w:t>It can be seen from the table, the</w:t>
      </w:r>
      <w:r>
        <w:rPr>
          <w:rFonts w:hint="default" w:ascii="Times New Roman" w:hAnsi="Times New Roman" w:eastAsia="宋体" w:cs="Times New Roman"/>
          <w:b w:val="0"/>
          <w:bCs w:val="0"/>
          <w:color w:val="auto"/>
          <w:sz w:val="20"/>
          <w:szCs w:val="20"/>
          <w:highlight w:val="none"/>
          <w:vertAlign w:val="baseline"/>
          <w:lang w:val="en-US" w:eastAsia="zh-CN"/>
        </w:rPr>
        <w:t xml:space="preserve"> DL/UL configurations information can</w:t>
      </w:r>
      <w:r>
        <w:rPr>
          <w:rFonts w:hint="eastAsia" w:eastAsia="宋体" w:cs="Times New Roman"/>
          <w:b w:val="0"/>
          <w:bCs w:val="0"/>
          <w:color w:val="auto"/>
          <w:sz w:val="20"/>
          <w:szCs w:val="20"/>
          <w:highlight w:val="none"/>
          <w:vertAlign w:val="baseline"/>
          <w:lang w:val="en-US" w:eastAsia="zh-CN"/>
        </w:rPr>
        <w:t xml:space="preserve"> only</w:t>
      </w:r>
      <w:r>
        <w:rPr>
          <w:rFonts w:hint="default" w:ascii="Times New Roman" w:hAnsi="Times New Roman" w:eastAsia="宋体" w:cs="Times New Roman"/>
          <w:b w:val="0"/>
          <w:bCs w:val="0"/>
          <w:color w:val="auto"/>
          <w:sz w:val="20"/>
          <w:szCs w:val="20"/>
          <w:highlight w:val="none"/>
          <w:vertAlign w:val="baseline"/>
          <w:lang w:val="en-US" w:eastAsia="zh-CN"/>
        </w:rPr>
        <w:t xml:space="preserve"> be obtained</w:t>
      </w:r>
      <w:r>
        <w:rPr>
          <w:rFonts w:hint="eastAsia" w:eastAsia="宋体" w:cs="Times New Roman"/>
          <w:b w:val="0"/>
          <w:bCs w:val="0"/>
          <w:color w:val="auto"/>
          <w:sz w:val="20"/>
          <w:szCs w:val="20"/>
          <w:highlight w:val="none"/>
          <w:vertAlign w:val="baseline"/>
          <w:lang w:val="en-US" w:eastAsia="zh-CN"/>
        </w:rPr>
        <w:t xml:space="preserve"> from the configurations table. For the other sections, only UL CA </w:t>
      </w:r>
      <w:r>
        <w:rPr>
          <w:rFonts w:hint="default" w:ascii="Times New Roman" w:hAnsi="Times New Roman" w:eastAsia="宋体" w:cs="Times New Roman"/>
          <w:b w:val="0"/>
          <w:bCs w:val="0"/>
          <w:color w:val="auto"/>
          <w:sz w:val="20"/>
          <w:szCs w:val="20"/>
          <w:highlight w:val="none"/>
          <w:vertAlign w:val="baseline"/>
          <w:lang w:val="en-US" w:eastAsia="zh-CN"/>
        </w:rPr>
        <w:t>band combination</w:t>
      </w:r>
      <w:r>
        <w:rPr>
          <w:rFonts w:hint="eastAsia" w:eastAsia="宋体" w:cs="Times New Roman"/>
          <w:b w:val="0"/>
          <w:bCs w:val="0"/>
          <w:color w:val="auto"/>
          <w:sz w:val="20"/>
          <w:szCs w:val="20"/>
          <w:highlight w:val="none"/>
          <w:vertAlign w:val="baseline"/>
          <w:lang w:val="en-US" w:eastAsia="zh-CN"/>
        </w:rPr>
        <w:t xml:space="preserve"> or DL CA </w:t>
      </w:r>
      <w:r>
        <w:rPr>
          <w:rFonts w:hint="default" w:ascii="Times New Roman" w:hAnsi="Times New Roman" w:eastAsia="宋体" w:cs="Times New Roman"/>
          <w:b w:val="0"/>
          <w:bCs w:val="0"/>
          <w:color w:val="auto"/>
          <w:sz w:val="20"/>
          <w:szCs w:val="20"/>
          <w:highlight w:val="none"/>
          <w:vertAlign w:val="baseline"/>
          <w:lang w:val="en-US" w:eastAsia="zh-CN"/>
        </w:rPr>
        <w:t>band combination</w:t>
      </w:r>
      <w:r>
        <w:rPr>
          <w:rFonts w:hint="eastAsia" w:eastAsia="宋体" w:cs="Times New Roman"/>
          <w:b w:val="0"/>
          <w:bCs w:val="0"/>
          <w:color w:val="auto"/>
          <w:sz w:val="20"/>
          <w:szCs w:val="20"/>
          <w:highlight w:val="none"/>
          <w:vertAlign w:val="baseline"/>
          <w:lang w:val="en-US" w:eastAsia="zh-CN"/>
        </w:rPr>
        <w:t xml:space="preserve"> can be obtained.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vertAlign w:val="baseline"/>
          <w:lang w:val="en-US" w:eastAsia="zh-CN"/>
        </w:rPr>
        <w:t xml:space="preserve">Observation 2: </w:t>
      </w:r>
      <w:r>
        <w:rPr>
          <w:rFonts w:hint="eastAsia" w:eastAsia="宋体" w:cs="Times New Roman"/>
          <w:b/>
          <w:bCs/>
          <w:color w:val="auto"/>
          <w:sz w:val="20"/>
          <w:szCs w:val="20"/>
          <w:highlight w:val="none"/>
          <w:lang w:val="en-US" w:eastAsia="zh-CN"/>
        </w:rPr>
        <w:t>T</w:t>
      </w:r>
      <w:r>
        <w:rPr>
          <w:rFonts w:hint="eastAsia" w:ascii="Times New Roman" w:hAnsi="Times New Roman" w:eastAsia="宋体" w:cs="Times New Roman"/>
          <w:b/>
          <w:bCs/>
          <w:color w:val="auto"/>
          <w:sz w:val="20"/>
          <w:szCs w:val="20"/>
          <w:highlight w:val="none"/>
          <w:lang w:val="en-US" w:eastAsia="zh-CN"/>
        </w:rPr>
        <w:t>he</w:t>
      </w:r>
      <w:r>
        <w:rPr>
          <w:rFonts w:hint="default" w:ascii="Times New Roman" w:hAnsi="Times New Roman" w:eastAsia="宋体" w:cs="Times New Roman"/>
          <w:b/>
          <w:bCs/>
          <w:color w:val="auto"/>
          <w:sz w:val="20"/>
          <w:szCs w:val="20"/>
          <w:highlight w:val="none"/>
          <w:vertAlign w:val="baseline"/>
          <w:lang w:val="en-US" w:eastAsia="zh-CN"/>
        </w:rPr>
        <w:t xml:space="preserve"> DL/UL configurations information can</w:t>
      </w:r>
      <w:r>
        <w:rPr>
          <w:rFonts w:hint="eastAsia" w:eastAsia="宋体" w:cs="Times New Roman"/>
          <w:b/>
          <w:bCs/>
          <w:color w:val="auto"/>
          <w:sz w:val="20"/>
          <w:szCs w:val="20"/>
          <w:highlight w:val="none"/>
          <w:vertAlign w:val="baseline"/>
          <w:lang w:val="en-US" w:eastAsia="zh-CN"/>
        </w:rPr>
        <w:t xml:space="preserve"> only</w:t>
      </w:r>
      <w:r>
        <w:rPr>
          <w:rFonts w:hint="default" w:ascii="Times New Roman" w:hAnsi="Times New Roman" w:eastAsia="宋体" w:cs="Times New Roman"/>
          <w:b/>
          <w:bCs/>
          <w:color w:val="auto"/>
          <w:sz w:val="20"/>
          <w:szCs w:val="20"/>
          <w:highlight w:val="none"/>
          <w:vertAlign w:val="baseline"/>
          <w:lang w:val="en-US" w:eastAsia="zh-CN"/>
        </w:rPr>
        <w:t xml:space="preserve"> be obtained</w:t>
      </w:r>
      <w:r>
        <w:rPr>
          <w:rFonts w:hint="eastAsia" w:eastAsia="宋体" w:cs="Times New Roman"/>
          <w:b/>
          <w:bCs/>
          <w:color w:val="auto"/>
          <w:sz w:val="20"/>
          <w:szCs w:val="20"/>
          <w:highlight w:val="none"/>
          <w:vertAlign w:val="baseline"/>
          <w:lang w:val="en-US" w:eastAsia="zh-CN"/>
        </w:rPr>
        <w:t xml:space="preserve"> from the configurations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So if the BCS4 is not listed in the configuration table, then we cannot know the DL configuration for a certain band combination. For example, if CA_n1A-n79(2A)_BCS4 (just for example) is requested, we will missing CA_n1A-n79(2A)_BCS4</w:t>
      </w:r>
      <w:r>
        <w:rPr>
          <w:rFonts w:hint="eastAsia" w:eastAsia="宋体" w:cs="Times New Roman"/>
          <w:b w:val="0"/>
          <w:bCs w:val="0"/>
          <w:color w:val="auto"/>
          <w:sz w:val="20"/>
          <w:szCs w:val="20"/>
          <w:highlight w:val="none"/>
          <w:lang w:val="en-US" w:eastAsia="zh-CN"/>
        </w:rPr>
        <w:t xml:space="preserve"> in the spec since we cannot find </w:t>
      </w:r>
      <w:r>
        <w:rPr>
          <w:rFonts w:hint="eastAsia" w:ascii="Times New Roman" w:hAnsi="Times New Roman" w:eastAsia="宋体" w:cs="Times New Roman"/>
          <w:b w:val="0"/>
          <w:bCs w:val="0"/>
          <w:color w:val="auto"/>
          <w:sz w:val="20"/>
          <w:szCs w:val="20"/>
          <w:highlight w:val="none"/>
          <w:lang w:val="en-US" w:eastAsia="zh-CN"/>
        </w:rPr>
        <w:t>CA_n1A-n79(2A)</w:t>
      </w:r>
      <w:r>
        <w:rPr>
          <w:rFonts w:hint="eastAsia" w:eastAsia="宋体" w:cs="Times New Roman"/>
          <w:b w:val="0"/>
          <w:bCs w:val="0"/>
          <w:color w:val="auto"/>
          <w:sz w:val="20"/>
          <w:szCs w:val="20"/>
          <w:highlight w:val="none"/>
          <w:lang w:val="en-US" w:eastAsia="zh-CN"/>
        </w:rPr>
        <w:t xml:space="preserve"> in other section except in the configuration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Also when a brand new band combination only with BCS4 is requested, here the brand new band combination means the band combination was never requested by proponents, and no corresponding traditional BCS existed, then we will also missing it in the spec.</w:t>
      </w:r>
    </w:p>
    <w:tbl>
      <w:tblPr>
        <w:tblStyle w:val="76"/>
        <w:tblW w:w="5150" w:type="pct"/>
        <w:tblInd w:w="-3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221"/>
        <w:gridCol w:w="586"/>
        <w:gridCol w:w="456"/>
        <w:gridCol w:w="457"/>
        <w:gridCol w:w="457"/>
        <w:gridCol w:w="457"/>
        <w:gridCol w:w="457"/>
        <w:gridCol w:w="456"/>
        <w:gridCol w:w="1"/>
        <w:gridCol w:w="456"/>
        <w:gridCol w:w="1"/>
        <w:gridCol w:w="456"/>
        <w:gridCol w:w="1"/>
        <w:gridCol w:w="456"/>
        <w:gridCol w:w="2"/>
        <w:gridCol w:w="455"/>
        <w:gridCol w:w="3"/>
        <w:gridCol w:w="453"/>
        <w:gridCol w:w="5"/>
        <w:gridCol w:w="452"/>
        <w:gridCol w:w="6"/>
        <w:gridCol w:w="458"/>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highlight w:val="yellow"/>
                <w:lang w:val="en-US" w:eastAsia="en-US" w:bidi="ar-SA"/>
              </w:rPr>
            </w:pPr>
            <w:r>
              <w:rPr>
                <w:rFonts w:hint="default" w:ascii="Times New Roman" w:hAnsi="Times New Roman" w:eastAsia="MS Mincho" w:cs="Times New Roman"/>
                <w:b w:val="0"/>
                <w:color w:val="auto"/>
                <w:kern w:val="2"/>
                <w:sz w:val="16"/>
                <w:szCs w:val="16"/>
                <w:highlight w:val="yellow"/>
                <w:lang w:val="en-US" w:eastAsia="en-US" w:bidi="ar-SA"/>
              </w:rPr>
              <w:t>NR CA configuration</w:t>
            </w:r>
          </w:p>
        </w:tc>
        <w:tc>
          <w:tcPr>
            <w:tcW w:w="1221"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en-US" w:bidi="ar-SA"/>
              </w:rPr>
            </w:pPr>
            <w:r>
              <w:rPr>
                <w:rFonts w:hint="default" w:ascii="Times New Roman" w:hAnsi="Times New Roman" w:eastAsia="MS Mincho" w:cs="Times New Roman"/>
                <w:b w:val="0"/>
                <w:color w:val="auto"/>
                <w:kern w:val="2"/>
                <w:sz w:val="16"/>
                <w:szCs w:val="16"/>
                <w:lang w:val="en-US" w:eastAsia="en-US" w:bidi="ar-SA"/>
              </w:rPr>
              <w:t>Uplink CA configuration</w:t>
            </w:r>
          </w:p>
        </w:tc>
        <w:tc>
          <w:tcPr>
            <w:tcW w:w="586" w:type="dxa"/>
            <w:tcBorders>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NR Band</w:t>
            </w:r>
          </w:p>
        </w:tc>
        <w:tc>
          <w:tcPr>
            <w:tcW w:w="5945" w:type="dxa"/>
            <w:gridSpan w:val="20"/>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eastAsia" w:ascii="Times New Roman" w:hAnsi="Times New Roman" w:eastAsia="MS Mincho" w:cs="Times New Roman"/>
                <w:b w:val="0"/>
                <w:color w:val="auto"/>
                <w:kern w:val="2"/>
                <w:sz w:val="16"/>
                <w:szCs w:val="16"/>
                <w:lang w:val="en-US" w:eastAsia="zh-CN" w:bidi="ar-SA"/>
              </w:rPr>
              <w:t>C</w:t>
            </w:r>
            <w:r>
              <w:rPr>
                <w:rFonts w:hint="default" w:ascii="Times New Roman" w:hAnsi="Times New Roman" w:eastAsia="MS Mincho" w:cs="Times New Roman"/>
                <w:b w:val="0"/>
                <w:color w:val="auto"/>
                <w:kern w:val="2"/>
                <w:sz w:val="16"/>
                <w:szCs w:val="16"/>
                <w:lang w:val="en-US" w:eastAsia="zh-CN" w:bidi="ar-SA"/>
              </w:rPr>
              <w:t xml:space="preserve">hannel bandwidth </w:t>
            </w:r>
            <w:r>
              <w:rPr>
                <w:rFonts w:hint="eastAsia" w:ascii="Times New Roman" w:hAnsi="Times New Roman" w:eastAsia="MS Mincho" w:cs="Times New Roman"/>
                <w:b w:val="0"/>
                <w:color w:val="auto"/>
                <w:kern w:val="2"/>
                <w:sz w:val="16"/>
                <w:szCs w:val="16"/>
                <w:lang w:val="en-US" w:eastAsia="zh-CN" w:bidi="ar-SA"/>
              </w:rPr>
              <w:t>(</w:t>
            </w:r>
            <w:r>
              <w:rPr>
                <w:rFonts w:hint="default" w:ascii="Times New Roman" w:hAnsi="Times New Roman" w:eastAsia="MS Mincho" w:cs="Times New Roman"/>
                <w:b w:val="0"/>
                <w:color w:val="auto"/>
                <w:kern w:val="2"/>
                <w:sz w:val="16"/>
                <w:szCs w:val="16"/>
                <w:lang w:val="en-US" w:eastAsia="zh-CN" w:bidi="ar-SA"/>
              </w:rPr>
              <w:t>MHz) (</w:t>
            </w:r>
            <w:r>
              <w:rPr>
                <w:rFonts w:hint="eastAsia" w:ascii="Times New Roman" w:hAnsi="Times New Roman" w:eastAsia="MS Mincho" w:cs="Times New Roman"/>
                <w:b w:val="0"/>
                <w:color w:val="auto"/>
                <w:kern w:val="2"/>
                <w:sz w:val="16"/>
                <w:szCs w:val="16"/>
                <w:lang w:val="en-US" w:eastAsia="zh-CN" w:bidi="ar-SA"/>
              </w:rPr>
              <w:t>N</w:t>
            </w:r>
            <w:r>
              <w:rPr>
                <w:rFonts w:hint="default" w:ascii="Times New Roman" w:hAnsi="Times New Roman" w:eastAsia="MS Mincho" w:cs="Times New Roman"/>
                <w:b w:val="0"/>
                <w:color w:val="auto"/>
                <w:kern w:val="2"/>
                <w:sz w:val="16"/>
                <w:szCs w:val="16"/>
                <w:lang w:val="en-US" w:eastAsia="zh-CN" w:bidi="ar-SA"/>
              </w:rPr>
              <w:t>OTE 3)</w:t>
            </w:r>
          </w:p>
        </w:tc>
        <w:tc>
          <w:tcPr>
            <w:tcW w:w="1052"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highlight w:val="yellow"/>
                <w:lang w:val="en-US" w:eastAsia="en-US" w:bidi="ar-SA"/>
              </w:rPr>
            </w:pPr>
          </w:p>
        </w:tc>
        <w:tc>
          <w:tcPr>
            <w:tcW w:w="1221"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en-US" w:bidi="ar-SA"/>
              </w:rPr>
            </w:pPr>
          </w:p>
        </w:tc>
        <w:tc>
          <w:tcPr>
            <w:tcW w:w="586" w:type="dxa"/>
            <w:tcBorders>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p>
        </w:tc>
        <w:tc>
          <w:tcPr>
            <w:tcW w:w="456"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5</w:t>
            </w:r>
          </w:p>
        </w:tc>
        <w:tc>
          <w:tcPr>
            <w:tcW w:w="457"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10</w:t>
            </w:r>
          </w:p>
        </w:tc>
        <w:tc>
          <w:tcPr>
            <w:tcW w:w="457"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15</w:t>
            </w:r>
          </w:p>
        </w:tc>
        <w:tc>
          <w:tcPr>
            <w:tcW w:w="457"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20</w:t>
            </w:r>
          </w:p>
        </w:tc>
        <w:tc>
          <w:tcPr>
            <w:tcW w:w="457"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en-US" w:bidi="ar-SA"/>
              </w:rPr>
            </w:pPr>
            <w:r>
              <w:rPr>
                <w:rFonts w:hint="default" w:ascii="Times New Roman" w:hAnsi="Times New Roman" w:eastAsia="MS Mincho" w:cs="Times New Roman"/>
                <w:b w:val="0"/>
                <w:color w:val="auto"/>
                <w:kern w:val="2"/>
                <w:sz w:val="16"/>
                <w:szCs w:val="16"/>
                <w:lang w:val="en-US" w:eastAsia="en-US" w:bidi="ar-SA"/>
              </w:rPr>
              <w:t>25</w:t>
            </w:r>
          </w:p>
        </w:tc>
        <w:tc>
          <w:tcPr>
            <w:tcW w:w="457"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en-US" w:bidi="ar-SA"/>
              </w:rPr>
            </w:pPr>
            <w:r>
              <w:rPr>
                <w:rFonts w:hint="default" w:ascii="Times New Roman" w:hAnsi="Times New Roman" w:eastAsia="MS Mincho" w:cs="Times New Roman"/>
                <w:b w:val="0"/>
                <w:color w:val="auto"/>
                <w:kern w:val="2"/>
                <w:sz w:val="16"/>
                <w:szCs w:val="16"/>
                <w:lang w:val="en-US" w:eastAsia="en-US" w:bidi="ar-SA"/>
              </w:rPr>
              <w:t>30</w:t>
            </w:r>
          </w:p>
        </w:tc>
        <w:tc>
          <w:tcPr>
            <w:tcW w:w="457"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40</w:t>
            </w:r>
          </w:p>
        </w:tc>
        <w:tc>
          <w:tcPr>
            <w:tcW w:w="457"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50</w:t>
            </w:r>
          </w:p>
        </w:tc>
        <w:tc>
          <w:tcPr>
            <w:tcW w:w="458"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60</w:t>
            </w:r>
          </w:p>
        </w:tc>
        <w:tc>
          <w:tcPr>
            <w:tcW w:w="458"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eastAsia" w:ascii="Times New Roman" w:hAnsi="Times New Roman" w:eastAsia="MS Mincho" w:cs="Times New Roman"/>
                <w:b w:val="0"/>
                <w:color w:val="auto"/>
                <w:kern w:val="2"/>
                <w:sz w:val="16"/>
                <w:szCs w:val="16"/>
                <w:lang w:val="en-US" w:eastAsia="zh-CN" w:bidi="ar-SA"/>
              </w:rPr>
              <w:t>70</w:t>
            </w:r>
          </w:p>
        </w:tc>
        <w:tc>
          <w:tcPr>
            <w:tcW w:w="458"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80</w:t>
            </w:r>
          </w:p>
        </w:tc>
        <w:tc>
          <w:tcPr>
            <w:tcW w:w="458" w:type="dxa"/>
            <w:gridSpan w:val="2"/>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en-US" w:bidi="ar-SA"/>
              </w:rPr>
            </w:pPr>
            <w:r>
              <w:rPr>
                <w:rFonts w:hint="default" w:ascii="Times New Roman" w:hAnsi="Times New Roman" w:eastAsia="MS Mincho" w:cs="Times New Roman"/>
                <w:b w:val="0"/>
                <w:color w:val="auto"/>
                <w:kern w:val="2"/>
                <w:sz w:val="16"/>
                <w:szCs w:val="16"/>
                <w:lang w:val="en-US" w:eastAsia="en-US" w:bidi="ar-SA"/>
              </w:rPr>
              <w:t>90</w:t>
            </w:r>
          </w:p>
        </w:tc>
        <w:tc>
          <w:tcPr>
            <w:tcW w:w="458" w:type="dxa"/>
            <w:tcBorders>
              <w:top w:val="single" w:color="auto" w:sz="4" w:space="0"/>
              <w:left w:val="single" w:color="auto" w:sz="4" w:space="0"/>
              <w:bottom w:val="single" w:color="auto" w:sz="4" w:space="0"/>
              <w:right w:val="single" w:color="auto" w:sz="4" w:space="0"/>
            </w:tcBorders>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r>
              <w:rPr>
                <w:rFonts w:hint="default" w:ascii="Times New Roman" w:hAnsi="Times New Roman" w:eastAsia="MS Mincho" w:cs="Times New Roman"/>
                <w:b w:val="0"/>
                <w:color w:val="auto"/>
                <w:kern w:val="2"/>
                <w:sz w:val="16"/>
                <w:szCs w:val="16"/>
                <w:lang w:val="en-US" w:eastAsia="en-US" w:bidi="ar-SA"/>
              </w:rPr>
              <w:t>100</w:t>
            </w:r>
          </w:p>
        </w:tc>
        <w:tc>
          <w:tcPr>
            <w:tcW w:w="1052" w:type="dxa"/>
            <w:tcBorders>
              <w:left w:val="single" w:color="auto" w:sz="4" w:space="0"/>
              <w:bottom w:val="nil"/>
              <w:right w:val="single" w:color="auto" w:sz="4" w:space="0"/>
            </w:tcBorders>
            <w:shd w:val="clear" w:color="auto" w:fill="auto"/>
            <w:vAlign w:val="top"/>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eastAsia="MS Mincho" w:cs="Times New Roman"/>
                <w:b w:val="0"/>
                <w:color w:val="auto"/>
                <w:kern w:val="2"/>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yellow"/>
                <w:lang w:val="en-US"/>
              </w:rPr>
            </w:pPr>
            <w:r>
              <w:rPr>
                <w:rFonts w:hint="default" w:ascii="Times New Roman" w:hAnsi="Times New Roman" w:cs="Times New Roman"/>
                <w:color w:val="auto"/>
                <w:sz w:val="16"/>
                <w:szCs w:val="16"/>
                <w:highlight w:val="yellow"/>
                <w:lang w:val="en-US"/>
              </w:rPr>
              <w:t>CA_n</w:t>
            </w:r>
            <w:r>
              <w:rPr>
                <w:rFonts w:hint="default" w:ascii="Times New Roman" w:hAnsi="Times New Roman" w:cs="Times New Roman"/>
                <w:color w:val="auto"/>
                <w:sz w:val="16"/>
                <w:szCs w:val="16"/>
                <w:highlight w:val="yellow"/>
                <w:lang w:val="en-US" w:eastAsia="zh-CN"/>
              </w:rPr>
              <w:t>1</w:t>
            </w:r>
            <w:r>
              <w:rPr>
                <w:rFonts w:hint="default" w:ascii="Times New Roman" w:hAnsi="Times New Roman" w:cs="Times New Roman"/>
                <w:color w:val="auto"/>
                <w:sz w:val="16"/>
                <w:szCs w:val="16"/>
                <w:highlight w:val="yellow"/>
                <w:lang w:val="en-US"/>
              </w:rPr>
              <w:t>A-n7</w:t>
            </w:r>
            <w:r>
              <w:rPr>
                <w:rFonts w:hint="default" w:ascii="Times New Roman" w:hAnsi="Times New Roman" w:cs="Times New Roman"/>
                <w:color w:val="auto"/>
                <w:sz w:val="16"/>
                <w:szCs w:val="16"/>
                <w:highlight w:val="yellow"/>
                <w:lang w:val="en-US" w:eastAsia="zh-CN"/>
              </w:rPr>
              <w:t>9</w:t>
            </w:r>
            <w:r>
              <w:rPr>
                <w:rFonts w:hint="default" w:ascii="Times New Roman" w:hAnsi="Times New Roman" w:cs="Times New Roman"/>
                <w:color w:val="auto"/>
                <w:sz w:val="16"/>
                <w:szCs w:val="16"/>
                <w:highlight w:val="yellow"/>
                <w:lang w:val="en-US"/>
              </w:rPr>
              <w:t>A</w:t>
            </w:r>
          </w:p>
        </w:tc>
        <w:tc>
          <w:tcPr>
            <w:tcW w:w="1221" w:type="dxa"/>
            <w:tcBorders>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r>
              <w:rPr>
                <w:rFonts w:hint="default" w:ascii="Times New Roman" w:hAnsi="Times New Roman" w:cs="Times New Roman"/>
                <w:color w:val="auto"/>
                <w:sz w:val="16"/>
                <w:szCs w:val="16"/>
                <w:lang w:val="en-US"/>
              </w:rPr>
              <w:t>CA_n</w:t>
            </w:r>
            <w:r>
              <w:rPr>
                <w:rFonts w:hint="default" w:ascii="Times New Roman" w:hAnsi="Times New Roman" w:cs="Times New Roman"/>
                <w:color w:val="auto"/>
                <w:sz w:val="16"/>
                <w:szCs w:val="16"/>
                <w:lang w:val="en-US" w:eastAsia="zh-CN"/>
              </w:rPr>
              <w:t>1</w:t>
            </w:r>
            <w:r>
              <w:rPr>
                <w:rFonts w:hint="default" w:ascii="Times New Roman" w:hAnsi="Times New Roman" w:cs="Times New Roman"/>
                <w:color w:val="auto"/>
                <w:sz w:val="16"/>
                <w:szCs w:val="16"/>
                <w:lang w:val="en-US"/>
              </w:rPr>
              <w:t>A-n7</w:t>
            </w:r>
            <w:r>
              <w:rPr>
                <w:rFonts w:hint="default" w:ascii="Times New Roman" w:hAnsi="Times New Roman" w:cs="Times New Roman"/>
                <w:color w:val="auto"/>
                <w:sz w:val="16"/>
                <w:szCs w:val="16"/>
                <w:lang w:val="en-US" w:eastAsia="zh-CN"/>
              </w:rPr>
              <w:t>9</w:t>
            </w:r>
            <w:r>
              <w:rPr>
                <w:rFonts w:hint="default" w:ascii="Times New Roman" w:hAnsi="Times New Roman" w:cs="Times New Roman"/>
                <w:color w:val="auto"/>
                <w:sz w:val="16"/>
                <w:szCs w:val="16"/>
                <w:lang w:val="en-US"/>
              </w:rPr>
              <w:t>A</w:t>
            </w:r>
          </w:p>
        </w:tc>
        <w:tc>
          <w:tcPr>
            <w:tcW w:w="586" w:type="dxa"/>
            <w:tcBorders>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r>
              <w:rPr>
                <w:rFonts w:hint="default" w:ascii="Times New Roman" w:hAnsi="Times New Roman" w:cs="Times New Roman"/>
                <w:color w:val="auto"/>
                <w:sz w:val="16"/>
                <w:szCs w:val="16"/>
                <w:lang w:val="en-US" w:eastAsia="zh-CN"/>
              </w:rPr>
              <w:t>n1</w:t>
            </w: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5</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r>
              <w:rPr>
                <w:rFonts w:hint="default" w:ascii="Times New Roman" w:hAnsi="Times New Roman" w:cs="Times New Roman"/>
                <w:color w:val="auto"/>
                <w:sz w:val="16"/>
                <w:szCs w:val="16"/>
                <w:lang w:eastAsia="zh-CN"/>
              </w:rPr>
              <w:t>10</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r>
              <w:rPr>
                <w:rFonts w:hint="default" w:ascii="Times New Roman" w:hAnsi="Times New Roman" w:cs="Times New Roman"/>
                <w:color w:val="auto"/>
                <w:sz w:val="16"/>
                <w:szCs w:val="16"/>
                <w:lang w:eastAsia="zh-CN"/>
              </w:rPr>
              <w:t>15</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r>
              <w:rPr>
                <w:rFonts w:hint="default" w:ascii="Times New Roman" w:hAnsi="Times New Roman" w:cs="Times New Roman"/>
                <w:color w:val="auto"/>
                <w:sz w:val="16"/>
                <w:szCs w:val="16"/>
                <w:lang w:eastAsia="zh-CN"/>
              </w:rPr>
              <w:t>20</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6"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sz w:val="16"/>
                <w:szCs w:val="16"/>
              </w:rPr>
            </w:pPr>
          </w:p>
        </w:tc>
        <w:tc>
          <w:tcPr>
            <w:tcW w:w="464"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1052" w:type="dxa"/>
            <w:tcBorders>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yellow"/>
                <w:lang w:val="en-US"/>
              </w:rPr>
            </w:pPr>
          </w:p>
        </w:tc>
        <w:tc>
          <w:tcPr>
            <w:tcW w:w="1221"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586" w:type="dxa"/>
            <w:tcBorders>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r>
              <w:rPr>
                <w:rFonts w:hint="default" w:ascii="Times New Roman" w:hAnsi="Times New Roman" w:cs="Times New Roman"/>
                <w:color w:val="auto"/>
                <w:sz w:val="16"/>
                <w:szCs w:val="16"/>
                <w:lang w:val="en-US" w:eastAsia="zh-CN"/>
              </w:rPr>
              <w:t>n79</w:t>
            </w: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rPr>
            </w:pP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rPr>
            </w:pP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rPr>
            </w:pP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40</w:t>
            </w: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50</w:t>
            </w: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60</w:t>
            </w: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456"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80</w:t>
            </w: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Yu Mincho" w:cs="Times New Roman"/>
                <w:color w:val="auto"/>
                <w:sz w:val="16"/>
                <w:szCs w:val="16"/>
              </w:rPr>
            </w:pPr>
          </w:p>
        </w:tc>
        <w:tc>
          <w:tcPr>
            <w:tcW w:w="464"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100</w:t>
            </w:r>
          </w:p>
        </w:tc>
        <w:tc>
          <w:tcPr>
            <w:tcW w:w="1052"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yellow"/>
                <w:lang w:val="en-US" w:eastAsia="zh-CN"/>
              </w:rPr>
            </w:pPr>
            <w:r>
              <w:rPr>
                <w:rFonts w:hint="default" w:ascii="Times New Roman" w:hAnsi="Times New Roman" w:cs="Times New Roman"/>
                <w:color w:val="auto"/>
                <w:sz w:val="16"/>
                <w:szCs w:val="16"/>
                <w:highlight w:val="yellow"/>
                <w:lang w:val="en-US"/>
              </w:rPr>
              <w:t>CA_n</w:t>
            </w:r>
            <w:r>
              <w:rPr>
                <w:rFonts w:hint="default" w:ascii="Times New Roman" w:hAnsi="Times New Roman" w:cs="Times New Roman"/>
                <w:color w:val="auto"/>
                <w:sz w:val="16"/>
                <w:szCs w:val="16"/>
                <w:highlight w:val="yellow"/>
                <w:lang w:val="en-US" w:eastAsia="zh-CN"/>
              </w:rPr>
              <w:t>1</w:t>
            </w:r>
            <w:r>
              <w:rPr>
                <w:rFonts w:hint="default" w:ascii="Times New Roman" w:hAnsi="Times New Roman" w:cs="Times New Roman"/>
                <w:color w:val="auto"/>
                <w:sz w:val="16"/>
                <w:szCs w:val="16"/>
                <w:highlight w:val="yellow"/>
                <w:lang w:val="en-US"/>
              </w:rPr>
              <w:t>A-n7</w:t>
            </w:r>
            <w:r>
              <w:rPr>
                <w:rFonts w:hint="default" w:ascii="Times New Roman" w:hAnsi="Times New Roman" w:cs="Times New Roman"/>
                <w:color w:val="auto"/>
                <w:sz w:val="16"/>
                <w:szCs w:val="16"/>
                <w:highlight w:val="yellow"/>
                <w:lang w:val="en-US" w:eastAsia="zh-CN"/>
              </w:rPr>
              <w:t>9C</w:t>
            </w:r>
          </w:p>
        </w:tc>
        <w:tc>
          <w:tcPr>
            <w:tcW w:w="1221"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rPr>
              <w:t>CA_n</w:t>
            </w:r>
            <w:r>
              <w:rPr>
                <w:rFonts w:hint="default" w:ascii="Times New Roman" w:hAnsi="Times New Roman" w:cs="Times New Roman"/>
                <w:color w:val="auto"/>
                <w:sz w:val="16"/>
                <w:szCs w:val="16"/>
                <w:lang w:val="en-US" w:eastAsia="zh-CN"/>
              </w:rPr>
              <w:t>1</w:t>
            </w:r>
            <w:r>
              <w:rPr>
                <w:rFonts w:hint="default" w:ascii="Times New Roman" w:hAnsi="Times New Roman" w:cs="Times New Roman"/>
                <w:color w:val="auto"/>
                <w:sz w:val="16"/>
                <w:szCs w:val="16"/>
                <w:lang w:val="en-US"/>
              </w:rPr>
              <w:t>A-n7</w:t>
            </w:r>
            <w:r>
              <w:rPr>
                <w:rFonts w:hint="default" w:ascii="Times New Roman" w:hAnsi="Times New Roman" w:cs="Times New Roman"/>
                <w:color w:val="auto"/>
                <w:sz w:val="16"/>
                <w:szCs w:val="16"/>
                <w:lang w:val="en-US" w:eastAsia="zh-CN"/>
              </w:rPr>
              <w:t>9</w:t>
            </w:r>
            <w:r>
              <w:rPr>
                <w:rFonts w:hint="default" w:ascii="Times New Roman" w:hAnsi="Times New Roman" w:cs="Times New Roman"/>
                <w:color w:val="auto"/>
                <w:sz w:val="16"/>
                <w:szCs w:val="16"/>
                <w:lang w:val="en-US"/>
              </w:rPr>
              <w:t>A</w:t>
            </w:r>
          </w:p>
        </w:tc>
        <w:tc>
          <w:tcPr>
            <w:tcW w:w="586" w:type="dxa"/>
            <w:tcBorders>
              <w:top w:val="single" w:color="auto" w:sz="4" w:space="0"/>
              <w:left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r>
              <w:rPr>
                <w:rFonts w:hint="default" w:ascii="Times New Roman" w:hAnsi="Times New Roman" w:cs="Times New Roman"/>
                <w:color w:val="auto"/>
                <w:sz w:val="16"/>
                <w:szCs w:val="16"/>
                <w:lang w:val="en-US" w:eastAsia="zh-CN"/>
              </w:rPr>
              <w:t>n1</w:t>
            </w: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5</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10</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15</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20</w:t>
            </w:r>
          </w:p>
        </w:tc>
        <w:tc>
          <w:tcPr>
            <w:tcW w:w="457"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56"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57"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464" w:type="dxa"/>
            <w:gridSpan w:val="2"/>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p>
        </w:tc>
        <w:tc>
          <w:tcPr>
            <w:tcW w:w="1052" w:type="dxa"/>
            <w:tcBorders>
              <w:top w:val="single" w:color="auto" w:sz="4" w:space="0"/>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default" w:ascii="Times New Roman" w:hAnsi="Times New Roman" w:cs="Times New Roman"/>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yellow"/>
                <w:lang w:val="en-US" w:eastAsia="zh-CN"/>
              </w:rPr>
            </w:pPr>
          </w:p>
        </w:tc>
        <w:tc>
          <w:tcPr>
            <w:tcW w:w="1221"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rPr>
            </w:pPr>
            <w:r>
              <w:rPr>
                <w:rFonts w:hint="default" w:ascii="Times New Roman" w:hAnsi="Times New Roman" w:cs="Times New Roman"/>
                <w:color w:val="auto"/>
                <w:sz w:val="16"/>
                <w:szCs w:val="16"/>
                <w:lang w:val="en-US" w:eastAsia="zh-CN"/>
              </w:rPr>
              <w:t>n79</w:t>
            </w:r>
          </w:p>
        </w:tc>
        <w:tc>
          <w:tcPr>
            <w:tcW w:w="5945" w:type="dxa"/>
            <w:gridSpan w:val="20"/>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eastAsia="zh-CN"/>
              </w:rPr>
            </w:pPr>
            <w:r>
              <w:rPr>
                <w:rFonts w:hint="default" w:ascii="Times New Roman" w:hAnsi="Times New Roman" w:cs="Times New Roman"/>
                <w:color w:val="auto"/>
                <w:sz w:val="16"/>
                <w:szCs w:val="16"/>
                <w:lang w:val="en-US" w:eastAsia="zh-CN"/>
              </w:rPr>
              <w:t>See CA_n79C Bandwidth Combination Set 0 in Table 5.5A.1-1</w:t>
            </w:r>
          </w:p>
        </w:tc>
        <w:tc>
          <w:tcPr>
            <w:tcW w:w="1052"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26035</wp:posOffset>
                      </wp:positionV>
                      <wp:extent cx="575945" cy="62611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75945" cy="6261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b/>
                                      <w:bCs/>
                                      <w:color w:val="E6B9B8" w:themeColor="accent2" w:themeTint="66"/>
                                      <w:sz w:val="72"/>
                                      <w:szCs w:val="7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22225">
                                        <w14:solidFill>
                                          <w14:schemeClr w14:val="accent2"/>
                                        </w14:solidFill>
                                        <w14:prstDash w14:val="solid"/>
                                        <w14:round/>
                                      </w14:textOutline>
                                      <w14:textFill>
                                        <w14:solidFill>
                                          <w14:schemeClr w14:val="accent2">
                                            <w14:lumMod w14:val="40000"/>
                                            <w14:lumOff w14:val="60000"/>
                                          </w14:schemeClr>
                                        </w14:solidFill>
                                      </w14:textFill>
                                      <w14:props3d w14:extrusionH="0" w14:contourW="0" w14:prstMaterial="clear"/>
                                    </w:rPr>
                                  </w:pPr>
                                  <w:r>
                                    <w:rPr>
                                      <w:rFonts w:hint="default" w:ascii="Arial" w:hAnsi="Arial" w:eastAsia="宋体" w:cs="Arial"/>
                                      <w:b/>
                                      <w:bCs/>
                                      <w:color w:val="E6B9B8" w:themeColor="accent2" w:themeTint="66"/>
                                      <w:sz w:val="72"/>
                                      <w:szCs w:val="7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22225">
                                        <w14:solidFill>
                                          <w14:schemeClr w14:val="accent2"/>
                                        </w14:solidFill>
                                        <w14:prstDash w14:val="solid"/>
                                        <w14:round/>
                                      </w14:textOutline>
                                      <w14:textFill>
                                        <w14:solidFill>
                                          <w14:schemeClr w14:val="accent2">
                                            <w14:lumMod w14:val="40000"/>
                                            <w14:lumOff w14:val="60000"/>
                                          </w14:schemeClr>
                                        </w14:solidFill>
                                      </w14:textFill>
                                      <w14:props3d w14:extrusionH="0" w14:contourW="0" w14:prstMaterial="clear"/>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2.05pt;height:49.3pt;width:45.35pt;z-index:251659264;mso-width-relative:page;mso-height-relative:page;" filled="f" stroked="f" coordsize="21600,21600" o:gfxdata="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E5nQb1wAA&#10;AAYBAAAPAAAAAAAAAAEAIAAAACIAAABkcnMvZG93bnJldi54bWxQSwECFAAUAAAACACHTuJAfeif&#10;XR8CAAAXBAAADgAAAAAAAAABACAAAAAmAQAAZHJzL2Uyb0RvYy54bWxQSwUGAAAAAAYABgBZAQAA&#10;twUAAAAA&#10;">
                      <v:fill on="f" focussize="0,0"/>
                      <v:stroke on="f" weight="0.5pt"/>
                      <v:imagedata o:title=""/>
                      <o:lock v:ext="edit" aspectratio="f"/>
                      <v:textbox>
                        <w:txbxContent>
                          <w:p>
                            <w:pPr>
                              <w:rPr>
                                <w:rFonts w:hint="eastAsia" w:eastAsia="宋体"/>
                                <w:b/>
                                <w:bCs/>
                                <w:color w:val="E6B9B8" w:themeColor="accent2" w:themeTint="66"/>
                                <w:sz w:val="72"/>
                                <w:szCs w:val="7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22225">
                                  <w14:solidFill>
                                    <w14:schemeClr w14:val="accent2"/>
                                  </w14:solidFill>
                                  <w14:prstDash w14:val="solid"/>
                                  <w14:round/>
                                </w14:textOutline>
                                <w14:textFill>
                                  <w14:solidFill>
                                    <w14:schemeClr w14:val="accent2">
                                      <w14:lumMod w14:val="40000"/>
                                      <w14:lumOff w14:val="60000"/>
                                    </w14:schemeClr>
                                  </w14:solidFill>
                                </w14:textFill>
                                <w14:props3d w14:extrusionH="0" w14:contourW="0" w14:prstMaterial="clear"/>
                              </w:rPr>
                            </w:pPr>
                            <w:r>
                              <w:rPr>
                                <w:rFonts w:hint="default" w:ascii="Arial" w:hAnsi="Arial" w:eastAsia="宋体" w:cs="Arial"/>
                                <w:b/>
                                <w:bCs/>
                                <w:color w:val="E6B9B8" w:themeColor="accent2" w:themeTint="66"/>
                                <w:sz w:val="72"/>
                                <w:szCs w:val="7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22225">
                                  <w14:solidFill>
                                    <w14:schemeClr w14:val="accent2"/>
                                  </w14:solidFill>
                                  <w14:prstDash w14:val="solid"/>
                                  <w14:round/>
                                </w14:textOutline>
                                <w14:textFill>
                                  <w14:solidFill>
                                    <w14:schemeClr w14:val="accent2">
                                      <w14:lumMod w14:val="40000"/>
                                      <w14:lumOff w14:val="60000"/>
                                    </w14:schemeClr>
                                  </w14:solidFill>
                                </w14:textFill>
                                <w14:props3d w14:extrusionH="0" w14:contourW="0" w14:prstMaterial="clear"/>
                              </w:rPr>
                              <w:t>×</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red"/>
                <w:lang w:val="en-US" w:eastAsia="zh-CN"/>
              </w:rPr>
            </w:pPr>
            <w:r>
              <w:rPr>
                <w:rFonts w:hint="default" w:ascii="Times New Roman" w:hAnsi="Times New Roman" w:cs="Times New Roman"/>
                <w:color w:val="auto"/>
                <w:sz w:val="16"/>
                <w:szCs w:val="16"/>
                <w:highlight w:val="red"/>
                <w:lang w:val="en-US"/>
              </w:rPr>
              <w:t>CA_n</w:t>
            </w:r>
            <w:r>
              <w:rPr>
                <w:rFonts w:hint="default" w:ascii="Times New Roman" w:hAnsi="Times New Roman" w:cs="Times New Roman"/>
                <w:color w:val="auto"/>
                <w:sz w:val="16"/>
                <w:szCs w:val="16"/>
                <w:highlight w:val="red"/>
                <w:lang w:val="en-US" w:eastAsia="zh-CN"/>
              </w:rPr>
              <w:t>1</w:t>
            </w:r>
            <w:r>
              <w:rPr>
                <w:rFonts w:hint="default" w:ascii="Times New Roman" w:hAnsi="Times New Roman" w:cs="Times New Roman"/>
                <w:color w:val="auto"/>
                <w:sz w:val="16"/>
                <w:szCs w:val="16"/>
                <w:highlight w:val="red"/>
                <w:lang w:val="en-US"/>
              </w:rPr>
              <w:t>A-n7</w:t>
            </w:r>
            <w:r>
              <w:rPr>
                <w:rFonts w:hint="default" w:ascii="Times New Roman" w:hAnsi="Times New Roman" w:cs="Times New Roman"/>
                <w:color w:val="auto"/>
                <w:sz w:val="16"/>
                <w:szCs w:val="16"/>
                <w:highlight w:val="red"/>
                <w:lang w:val="en-US" w:eastAsia="zh-CN"/>
              </w:rPr>
              <w:t>9</w:t>
            </w:r>
            <w:r>
              <w:rPr>
                <w:rFonts w:hint="eastAsia" w:ascii="Times New Roman" w:hAnsi="Times New Roman" w:cs="Times New Roman"/>
                <w:color w:val="auto"/>
                <w:sz w:val="16"/>
                <w:szCs w:val="16"/>
                <w:highlight w:val="red"/>
                <w:lang w:val="en-US" w:eastAsia="zh-CN"/>
              </w:rPr>
              <w:t>(2A)</w:t>
            </w:r>
          </w:p>
        </w:tc>
        <w:tc>
          <w:tcPr>
            <w:tcW w:w="1221" w:type="dxa"/>
            <w:tcBorders>
              <w:top w:val="nil"/>
              <w:left w:val="single" w:color="auto" w:sz="4" w:space="0"/>
              <w:bottom w:val="nil"/>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16"/>
                <w:szCs w:val="16"/>
                <w:highlight w:val="red"/>
                <w:lang w:val="en-US" w:eastAsia="zh-CN"/>
              </w:rPr>
            </w:pPr>
            <w:r>
              <w:rPr>
                <w:rFonts w:hint="eastAsia" w:ascii="Times New Roman" w:hAnsi="Times New Roman" w:eastAsia="宋体" w:cs="Times New Roman"/>
                <w:color w:val="auto"/>
                <w:sz w:val="16"/>
                <w:szCs w:val="16"/>
                <w:highlight w:val="red"/>
                <w:lang w:val="en-US" w:eastAsia="zh-CN"/>
              </w:rPr>
              <w:t xml:space="preserve">- or </w:t>
            </w:r>
            <w:r>
              <w:rPr>
                <w:rFonts w:hint="default" w:ascii="Times New Roman" w:hAnsi="Times New Roman" w:cs="Times New Roman"/>
                <w:color w:val="auto"/>
                <w:sz w:val="16"/>
                <w:szCs w:val="16"/>
                <w:highlight w:val="red"/>
                <w:lang w:val="en-US"/>
              </w:rPr>
              <w:t>CA_n</w:t>
            </w:r>
            <w:r>
              <w:rPr>
                <w:rFonts w:hint="default" w:ascii="Times New Roman" w:hAnsi="Times New Roman" w:cs="Times New Roman"/>
                <w:color w:val="auto"/>
                <w:sz w:val="16"/>
                <w:szCs w:val="16"/>
                <w:highlight w:val="red"/>
                <w:lang w:val="en-US" w:eastAsia="zh-CN"/>
              </w:rPr>
              <w:t>1</w:t>
            </w:r>
            <w:r>
              <w:rPr>
                <w:rFonts w:hint="default" w:ascii="Times New Roman" w:hAnsi="Times New Roman" w:cs="Times New Roman"/>
                <w:color w:val="auto"/>
                <w:sz w:val="16"/>
                <w:szCs w:val="16"/>
                <w:highlight w:val="red"/>
                <w:lang w:val="en-US"/>
              </w:rPr>
              <w:t>A-n7</w:t>
            </w:r>
            <w:r>
              <w:rPr>
                <w:rFonts w:hint="default" w:ascii="Times New Roman" w:hAnsi="Times New Roman" w:cs="Times New Roman"/>
                <w:color w:val="auto"/>
                <w:sz w:val="16"/>
                <w:szCs w:val="16"/>
                <w:highlight w:val="red"/>
                <w:lang w:val="en-US" w:eastAsia="zh-CN"/>
              </w:rPr>
              <w:t>9</w:t>
            </w:r>
            <w:r>
              <w:rPr>
                <w:rFonts w:hint="default" w:ascii="Times New Roman" w:hAnsi="Times New Roman" w:cs="Times New Roman"/>
                <w:color w:val="auto"/>
                <w:sz w:val="16"/>
                <w:szCs w:val="16"/>
                <w:highlight w:val="red"/>
                <w:lang w:val="en-US"/>
              </w:rPr>
              <w:t>A</w:t>
            </w:r>
          </w:p>
        </w:tc>
        <w:tc>
          <w:tcPr>
            <w:tcW w:w="6531" w:type="dxa"/>
            <w:gridSpan w:val="21"/>
            <w:vMerge w:val="restart"/>
            <w:tcBorders>
              <w:top w:val="single" w:color="auto" w:sz="4" w:space="0"/>
              <w:left w:val="single" w:color="auto" w:sz="4" w:space="0"/>
              <w:right w:val="single" w:color="auto" w:sz="4" w:space="0"/>
            </w:tcBorders>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cs="Times New Roman"/>
                <w:color w:val="auto"/>
                <w:sz w:val="16"/>
                <w:szCs w:val="16"/>
                <w:lang w:val="en-US" w:eastAsia="zh-CN"/>
              </w:rPr>
            </w:pPr>
            <w:r>
              <w:rPr>
                <w:rFonts w:hint="eastAsia" w:ascii="Times New Roman" w:hAnsi="Times New Roman" w:eastAsia="宋体" w:cs="Times New Roman"/>
                <w:b w:val="0"/>
                <w:bCs w:val="0"/>
                <w:i/>
                <w:iCs/>
                <w:color w:val="auto"/>
                <w:sz w:val="20"/>
                <w:szCs w:val="20"/>
                <w:highlight w:val="red"/>
                <w:lang w:val="en-US" w:eastAsia="zh-CN"/>
              </w:rPr>
              <w:t>missing CA_n1A-n79(2A)_BCS4</w:t>
            </w:r>
            <w:r>
              <w:rPr>
                <w:rFonts w:hint="eastAsia" w:eastAsia="宋体" w:cs="Times New Roman"/>
                <w:b w:val="0"/>
                <w:bCs w:val="0"/>
                <w:i/>
                <w:iCs/>
                <w:color w:val="auto"/>
                <w:sz w:val="20"/>
                <w:szCs w:val="20"/>
                <w:highlight w:val="red"/>
                <w:lang w:val="en-US" w:eastAsia="zh-CN"/>
              </w:rPr>
              <w:t xml:space="preserve"> in the spec.</w:t>
            </w:r>
          </w:p>
        </w:tc>
        <w:tc>
          <w:tcPr>
            <w:tcW w:w="1052" w:type="dxa"/>
            <w:vMerge w:val="restart"/>
            <w:tcBorders>
              <w:top w:val="nil"/>
              <w:left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r>
              <w:rPr>
                <w:rFonts w:hint="eastAsia" w:ascii="Times New Roman" w:hAnsi="Times New Roman" w:cs="Times New Roman"/>
                <w:color w:val="auto"/>
                <w:sz w:val="16"/>
                <w:szCs w:val="16"/>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50"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highlight w:val="yellow"/>
                <w:lang w:val="en-US" w:eastAsia="zh-CN"/>
              </w:rPr>
            </w:pPr>
          </w:p>
        </w:tc>
        <w:tc>
          <w:tcPr>
            <w:tcW w:w="1221" w:type="dxa"/>
            <w:tcBorders>
              <w:top w:val="nil"/>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6531" w:type="dxa"/>
            <w:gridSpan w:val="21"/>
            <w:vMerge w:val="continue"/>
            <w:tcBorders>
              <w:left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c>
          <w:tcPr>
            <w:tcW w:w="1052" w:type="dxa"/>
            <w:vMerge w:val="continue"/>
            <w:tcBorders>
              <w:left w:val="single" w:color="auto" w:sz="4" w:space="0"/>
              <w:bottom w:val="single" w:color="auto" w:sz="4" w:space="0"/>
              <w:right w:val="single" w:color="auto" w:sz="4" w:space="0"/>
            </w:tcBorders>
            <w:shd w:val="clear" w:color="auto" w:fill="auto"/>
          </w:tcPr>
          <w:p>
            <w:pPr>
              <w:pStyle w:val="210"/>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sz w:val="16"/>
                <w:szCs w:val="16"/>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How to include BCS4 in the configuration tables was discussed in the last meeting and it have already been included in the WF[1], where a new single row is added, i.e.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eastAsia" w:ascii="Times New Roman" w:hAnsi="Times New Roman" w:eastAsia="宋体" w:cs="Times New Roman"/>
          <w:b w:val="0"/>
          <w:bCs w:val="0"/>
          <w:color w:val="auto"/>
          <w:sz w:val="20"/>
          <w:szCs w:val="20"/>
          <w:highlight w:val="none"/>
          <w:lang w:val="en-US" w:eastAsia="zh-CN"/>
        </w:rPr>
        <w:t xml:space="preserve">able </w:t>
      </w:r>
      <w:r>
        <w:rPr>
          <w:rFonts w:hint="eastAsia" w:eastAsia="宋体" w:cs="Times New Roman"/>
          <w:b w:val="0"/>
          <w:bCs w:val="0"/>
          <w:color w:val="auto"/>
          <w:sz w:val="20"/>
          <w:szCs w:val="20"/>
          <w:highlight w:val="none"/>
          <w:lang w:val="en-US" w:eastAsia="zh-CN"/>
        </w:rPr>
        <w:t>2.</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A new single row for BCS4</w:t>
      </w:r>
    </w:p>
    <w:tbl>
      <w:tblPr>
        <w:tblStyle w:val="76"/>
        <w:tblW w:w="5114" w:type="pct"/>
        <w:jc w:val="center"/>
        <w:tblCellSpacing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1319"/>
        <w:gridCol w:w="1199"/>
        <w:gridCol w:w="661"/>
        <w:gridCol w:w="459"/>
        <w:gridCol w:w="459"/>
        <w:gridCol w:w="459"/>
        <w:gridCol w:w="459"/>
        <w:gridCol w:w="459"/>
        <w:gridCol w:w="459"/>
        <w:gridCol w:w="459"/>
        <w:gridCol w:w="459"/>
        <w:gridCol w:w="459"/>
        <w:gridCol w:w="459"/>
        <w:gridCol w:w="459"/>
        <w:gridCol w:w="459"/>
        <w:gridCol w:w="460"/>
        <w:gridCol w:w="9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520" w:hRule="atLeast"/>
          <w:tblCellSpacing w:w="0" w:type="dxa"/>
          <w:jc w:val="center"/>
        </w:trPr>
        <w:tc>
          <w:tcPr>
            <w:tcW w:w="65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NR CA </w:t>
            </w:r>
          </w:p>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configuration</w:t>
            </w:r>
          </w:p>
        </w:tc>
        <w:tc>
          <w:tcPr>
            <w:tcW w:w="59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Uplink CA configuration</w:t>
            </w:r>
          </w:p>
        </w:tc>
        <w:tc>
          <w:tcPr>
            <w:tcW w:w="328"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NR</w:t>
            </w:r>
          </w:p>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 Band</w:t>
            </w:r>
          </w:p>
        </w:tc>
        <w:tc>
          <w:tcPr>
            <w:tcW w:w="2964" w:type="pct"/>
            <w:gridSpan w:val="13"/>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Channel bandwidth (MHz)</w:t>
            </w:r>
          </w:p>
        </w:tc>
        <w:tc>
          <w:tcPr>
            <w:tcW w:w="456"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Bandwidth combination set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59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328"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30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40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60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70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80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90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100</w:t>
            </w:r>
          </w:p>
        </w:tc>
        <w:tc>
          <w:tcPr>
            <w:tcW w:w="456"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eastAsia" w:ascii="Times New Roman" w:hAnsi="Times New Roman" w:eastAsia="宋体" w:cs="Times New Roman"/>
                <w:sz w:val="16"/>
                <w:szCs w:val="16"/>
                <w:lang w:eastAsia="zh-CN"/>
              </w:rPr>
            </w:pPr>
            <w:r>
              <w:rPr>
                <w:rFonts w:hint="default" w:ascii="Times New Roman" w:hAnsi="Times New Roman" w:cs="Times New Roman"/>
                <w:sz w:val="16"/>
                <w:szCs w:val="16"/>
              </w:rPr>
              <w:t>CA_nXA-nY</w:t>
            </w:r>
            <w:r>
              <w:rPr>
                <w:rFonts w:hint="eastAsia" w:eastAsia="宋体" w:cs="Times New Roman"/>
                <w:sz w:val="16"/>
                <w:szCs w:val="16"/>
                <w:lang w:val="en-US" w:eastAsia="zh-CN"/>
              </w:rPr>
              <w:t>A</w:t>
            </w:r>
          </w:p>
        </w:tc>
        <w:tc>
          <w:tcPr>
            <w:tcW w:w="59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CA_nXA-nYA</w:t>
            </w:r>
          </w:p>
        </w:tc>
        <w:tc>
          <w:tcPr>
            <w:tcW w:w="3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nX</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456"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eastAsia" w:ascii="Times New Roman" w:hAnsi="Times New Roman" w:eastAsia="宋体" w:cs="Times New Roman"/>
                <w:sz w:val="16"/>
                <w:szCs w:val="16"/>
                <w:lang w:val="en-US" w:eastAsia="zh-CN"/>
              </w:rPr>
            </w:pPr>
            <w:r>
              <w:rPr>
                <w:rFonts w:hint="eastAsia" w:ascii="Times New Roman" w:hAnsi="Times New Roman" w:eastAsia="宋体" w:cs="Times New Roman"/>
                <w:sz w:val="16"/>
                <w:szCs w:val="16"/>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59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3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nY</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30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456"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59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3293" w:type="pct"/>
            <w:gridSpan w:val="14"/>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See nX</w:t>
            </w:r>
            <w:r>
              <w:rPr>
                <w:rFonts w:hint="eastAsia" w:eastAsia="宋体" w:cs="Times New Roman"/>
                <w:sz w:val="16"/>
                <w:szCs w:val="16"/>
                <w:lang w:val="en-US" w:eastAsia="zh-CN"/>
              </w:rPr>
              <w:t xml:space="preserve"> and nY</w:t>
            </w:r>
            <w:r>
              <w:rPr>
                <w:rFonts w:hint="default" w:ascii="Times New Roman" w:hAnsi="Times New Roman" w:cs="Times New Roman"/>
                <w:sz w:val="16"/>
                <w:szCs w:val="16"/>
              </w:rPr>
              <w:t> channel bandwidths in Table 5.3.5</w:t>
            </w:r>
            <w:r>
              <w:rPr>
                <w:rFonts w:hint="default" w:ascii="Times New Roman" w:hAnsi="Times New Roman" w:cs="Times New Roman"/>
                <w:sz w:val="16"/>
                <w:szCs w:val="16"/>
                <w:lang w:val="en-US" w:eastAsia="zh-CN"/>
              </w:rPr>
              <w:t>-</w:t>
            </w:r>
            <w:r>
              <w:rPr>
                <w:rFonts w:hint="default" w:ascii="Times New Roman" w:hAnsi="Times New Roman" w:cs="Times New Roman"/>
                <w:sz w:val="16"/>
                <w:szCs w:val="16"/>
              </w:rPr>
              <w:t>1 </w:t>
            </w:r>
          </w:p>
        </w:tc>
        <w:tc>
          <w:tcPr>
            <w:tcW w:w="45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eastAsia" w:ascii="Times New Roman" w:hAnsi="Times New Roman" w:eastAsia="宋体" w:cs="Times New Roman"/>
                <w:sz w:val="16"/>
                <w:szCs w:val="16"/>
                <w:lang w:val="en-US" w:eastAsia="zh-CN"/>
              </w:rPr>
            </w:pPr>
            <w:r>
              <w:rPr>
                <w:rFonts w:hint="eastAsia" w:ascii="Times New Roman" w:hAnsi="Times New Roman" w:eastAsia="宋体" w:cs="Times New Roman"/>
                <w:sz w:val="16"/>
                <w:szCs w:val="16"/>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CA_nXA-nYC</w:t>
            </w:r>
          </w:p>
        </w:tc>
        <w:tc>
          <w:tcPr>
            <w:tcW w:w="595"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CA_nXA-nYA</w:t>
            </w:r>
          </w:p>
        </w:tc>
        <w:tc>
          <w:tcPr>
            <w:tcW w:w="3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nX</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456"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59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3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nY</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25</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30</w:t>
            </w: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22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456"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5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595"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p>
        </w:tc>
        <w:tc>
          <w:tcPr>
            <w:tcW w:w="3293" w:type="pct"/>
            <w:gridSpan w:val="14"/>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See nX channel bandwidths in Table 5.3.5</w:t>
            </w:r>
            <w:r>
              <w:rPr>
                <w:rFonts w:hint="default" w:ascii="Times New Roman" w:hAnsi="Times New Roman" w:cs="Times New Roman"/>
                <w:sz w:val="16"/>
                <w:szCs w:val="16"/>
                <w:lang w:val="en-US" w:eastAsia="zh-CN"/>
              </w:rPr>
              <w:t>-</w:t>
            </w:r>
            <w:r>
              <w:rPr>
                <w:rFonts w:hint="default" w:ascii="Times New Roman" w:hAnsi="Times New Roman" w:cs="Times New Roman"/>
                <w:sz w:val="16"/>
                <w:szCs w:val="16"/>
              </w:rPr>
              <w:t>1 and nYC channel bandwidths in Table 5.5A.1-1.</w:t>
            </w:r>
          </w:p>
        </w:tc>
        <w:tc>
          <w:tcPr>
            <w:tcW w:w="45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16"/>
                <w:szCs w:val="16"/>
              </w:rPr>
            </w:pPr>
            <w:r>
              <w:rPr>
                <w:rFonts w:hint="default" w:ascii="Times New Roman" w:hAnsi="Times New Roman" w:cs="Times New Roman"/>
                <w:sz w:val="16"/>
                <w:szCs w:val="16"/>
              </w:rPr>
              <w:t>4</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3</w:t>
      </w:r>
      <w:r>
        <w:rPr>
          <w:rFonts w:hint="default" w:ascii="Times New Roman" w:hAnsi="Times New Roman" w:eastAsia="宋体" w:cs="Times New Roman"/>
          <w:b/>
          <w:bCs/>
          <w:color w:val="auto"/>
          <w:sz w:val="20"/>
          <w:szCs w:val="20"/>
          <w:highlight w:val="none"/>
          <w:lang w:val="en-US" w:eastAsia="zh-CN"/>
        </w:rPr>
        <w:t xml:space="preserve">. BCS4 needs to be indicated in the </w:t>
      </w:r>
      <w:r>
        <w:rPr>
          <w:rFonts w:hint="eastAsia" w:eastAsia="宋体" w:cs="Times New Roman"/>
          <w:b/>
          <w:bCs/>
          <w:color w:val="auto"/>
          <w:sz w:val="20"/>
          <w:szCs w:val="20"/>
          <w:highlight w:val="none"/>
          <w:lang w:val="en-US" w:eastAsia="zh-CN"/>
        </w:rPr>
        <w:t xml:space="preserve">configuration </w:t>
      </w:r>
      <w:r>
        <w:rPr>
          <w:rFonts w:hint="default" w:ascii="Times New Roman" w:hAnsi="Times New Roman" w:eastAsia="宋体" w:cs="Times New Roman"/>
          <w:b/>
          <w:bCs/>
          <w:color w:val="auto"/>
          <w:sz w:val="20"/>
          <w:szCs w:val="20"/>
          <w:highlight w:val="none"/>
          <w:lang w:val="en-US" w:eastAsia="zh-CN"/>
        </w:rPr>
        <w:t>table</w:t>
      </w:r>
      <w:r>
        <w:rPr>
          <w:rFonts w:hint="eastAsia" w:eastAsia="宋体" w:cs="Times New Roman"/>
          <w:b/>
          <w:bCs/>
          <w:color w:val="auto"/>
          <w:sz w:val="20"/>
          <w:szCs w:val="20"/>
          <w:highlight w:val="none"/>
          <w:lang w:val="en-US" w:eastAsia="zh-CN"/>
        </w:rPr>
        <w:t xml:space="preserve">s. A new single row for BCS4 (2 bands) in tables 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format in table 2 can be extent to configurations with more than 2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w:t>
      </w:r>
      <w:r>
        <w:rPr>
          <w:rFonts w:hint="eastAsia" w:eastAsia="宋体" w:cs="Times New Roman"/>
          <w:b/>
          <w:bCs/>
          <w:color w:val="auto"/>
          <w:sz w:val="20"/>
          <w:szCs w:val="20"/>
          <w:highlight w:val="none"/>
          <w:lang w:val="en-US" w:eastAsia="zh-CN"/>
        </w:rPr>
        <w:t>3</w:t>
      </w:r>
      <w:r>
        <w:rPr>
          <w:rFonts w:hint="default" w:ascii="Times New Roman" w:hAnsi="Times New Roman" w:eastAsia="宋体" w:cs="Times New Roman"/>
          <w:b/>
          <w:bCs/>
          <w:color w:val="auto"/>
          <w:sz w:val="20"/>
          <w:szCs w:val="20"/>
          <w:highlight w:val="none"/>
          <w:lang w:val="en-US" w:eastAsia="zh-CN"/>
        </w:rPr>
        <w:t xml:space="preserve"> BCS4</w:t>
      </w:r>
      <w:r>
        <w:rPr>
          <w:rFonts w:hint="eastAsia" w:eastAsia="宋体" w:cs="Times New Roman"/>
          <w:b/>
          <w:bCs/>
          <w:color w:val="auto"/>
          <w:sz w:val="20"/>
          <w:szCs w:val="20"/>
          <w:highlight w:val="none"/>
          <w:lang w:val="en-US" w:eastAsia="zh-CN"/>
        </w:rPr>
        <w:t xml:space="preserve"> v.s. traditional BCS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As we discussed in [3], </w:t>
      </w:r>
      <w:r>
        <w:rPr>
          <w:rFonts w:hint="default" w:ascii="Times New Roman" w:hAnsi="Times New Roman" w:eastAsia="宋体" w:cs="Times New Roman"/>
          <w:b w:val="0"/>
          <w:bCs w:val="0"/>
          <w:color w:val="auto"/>
          <w:sz w:val="20"/>
          <w:szCs w:val="20"/>
          <w:highlight w:val="none"/>
          <w:lang w:val="en-US" w:eastAsia="zh-CN"/>
        </w:rPr>
        <w:t>there is no need to bring TP and draft CRs for BCS0/1/2/3 since BCS4 is enough and it can be seen as super-set for BCS0/1/2/3, which means BCS4 can be cover all the information of BCS0/1/2/3. When the BCS4 combinations TP/draft CR are approved, then the BCS0/1/2/3 combinations are completed by default.</w:t>
      </w:r>
      <w:r>
        <w:rPr>
          <w:rFonts w:hint="eastAsia" w:eastAsia="宋体" w:cs="Times New Roman"/>
          <w:b w:val="0"/>
          <w:bCs w:val="0"/>
          <w:color w:val="auto"/>
          <w:sz w:val="20"/>
          <w:szCs w:val="20"/>
          <w:highlight w:val="none"/>
          <w:lang w:val="en-US" w:eastAsia="zh-CN"/>
        </w:rPr>
        <w:t xml:space="preserve"> Also this proposals have been already captured in the WF.</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default"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4</w:t>
      </w:r>
      <w:r>
        <w:rPr>
          <w:rFonts w:hint="default" w:eastAsia="宋体" w:cs="Times New Roman"/>
          <w:b/>
          <w:bCs/>
          <w:color w:val="auto"/>
          <w:sz w:val="20"/>
          <w:szCs w:val="20"/>
          <w:highlight w:val="none"/>
          <w:lang w:val="en-US" w:eastAsia="zh-CN"/>
        </w:rPr>
        <w:t>: For the same band combination, in case of both BCS0/1/2/3 and BCS4 exist in the WID, TP and draft CRs for BCS4 is enough, and BCS0/1/2/3 combinations are completed by default after BCS4 combinations TP/draft CR are approved.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2.4 BCS4 v.s. BCS5</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As discussed in last meeting,  if new signalling is introduced for BCS4, then release independent from Rel-15 cannot be applied. As stated in the WF, if it is determined that new Rel-17 signalling like minimum channel bandwidth is needed, then RAN4 will introduce BCS5 which will be similar to BCS4 except that the new signalling will apply to BCS5, but not to BCS4.</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BCS4 without new signalling cannot solve the IoDT concern raised by some companies. If the IoDT is the severe issue needed to be considered, then it seems BCS4 will become useless since nobody may not use BCS4 in Rel-15.</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From pure RAN4 perspective, there are no differences between BCS4 and BCS5, since the functions are the same which apply all possible channel bandwidths to each bands for the configurations. But it seems it might make things more complicated in RAN4 spec since both BCS4 and BCS5 may be listed in the tables for the same configuration, and the work in RAN4 for BCS4 and BCS5 are the same(No additional MSD work for BCS5).</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Also according to the current BCS4 WID, no additional all-powered BCSs are included, which means BCS5 is out of the scope of BCS4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vertAlign w:val="baseline"/>
          <w:lang w:val="en-US" w:eastAsia="zh-CN"/>
        </w:rPr>
        <w:t>Observat</w:t>
      </w:r>
      <w:r>
        <w:rPr>
          <w:rFonts w:hint="eastAsia" w:eastAsia="宋体" w:cs="Times New Roman"/>
          <w:b/>
          <w:bCs/>
          <w:color w:val="auto"/>
          <w:sz w:val="20"/>
          <w:szCs w:val="20"/>
          <w:highlight w:val="none"/>
          <w:lang w:val="en-US" w:eastAsia="zh-CN"/>
        </w:rPr>
        <w:t>ion 3:From RAN4 perspective, there are no differences between BCS4 and BCS5 but it might make things more complicated, and also BCS5 is out of the scope of BCS4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addition, in current TS38.307 spec, no BCS information is included in the tables, for example:</w:t>
      </w:r>
    </w:p>
    <w:p>
      <w:pPr>
        <w:pStyle w:val="168"/>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Table 5.2.2-1: NR interband CA within FR1</w:t>
      </w:r>
      <w:r>
        <w:rPr>
          <w:rFonts w:hint="default" w:ascii="Times New Roman" w:hAnsi="Times New Roman" w:eastAsia="宋体" w:cs="Times New Roman"/>
          <w:color w:val="auto"/>
          <w:sz w:val="18"/>
          <w:szCs w:val="18"/>
          <w:lang w:val="en-US" w:eastAsia="zh-CN"/>
        </w:rPr>
        <w:t xml:space="preserve"> (in TS38.307)</w:t>
      </w:r>
    </w:p>
    <w:tbl>
      <w:tblPr>
        <w:tblStyle w:val="76"/>
        <w:tblW w:w="9469" w:type="dxa"/>
        <w:tblInd w:w="108" w:type="dxa"/>
        <w:tblLayout w:type="autofit"/>
        <w:tblCellMar>
          <w:top w:w="0" w:type="dxa"/>
          <w:left w:w="108" w:type="dxa"/>
          <w:bottom w:w="0" w:type="dxa"/>
          <w:right w:w="108" w:type="dxa"/>
        </w:tblCellMar>
      </w:tblPr>
      <w:tblGrid>
        <w:gridCol w:w="1985"/>
        <w:gridCol w:w="767"/>
        <w:gridCol w:w="1226"/>
        <w:gridCol w:w="870"/>
        <w:gridCol w:w="897"/>
        <w:gridCol w:w="1086"/>
        <w:gridCol w:w="1286"/>
        <w:gridCol w:w="1352"/>
      </w:tblGrid>
      <w:tr>
        <w:tblPrEx>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Feature</w:t>
            </w:r>
          </w:p>
        </w:tc>
        <w:tc>
          <w:tcPr>
            <w:tcW w:w="746" w:type="dxa"/>
            <w:tcBorders>
              <w:top w:val="single" w:color="auto" w:sz="4" w:space="0"/>
              <w:left w:val="nil"/>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DL/UL</w:t>
            </w:r>
          </w:p>
        </w:tc>
        <w:tc>
          <w:tcPr>
            <w:tcW w:w="1226" w:type="dxa"/>
            <w:tcBorders>
              <w:top w:val="single" w:color="auto" w:sz="4" w:space="0"/>
              <w:left w:val="nil"/>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Maximum number of bands</w:t>
            </w:r>
          </w:p>
        </w:tc>
        <w:tc>
          <w:tcPr>
            <w:tcW w:w="877" w:type="dxa"/>
            <w:tcBorders>
              <w:top w:val="single" w:color="auto" w:sz="4" w:space="0"/>
              <w:left w:val="nil"/>
              <w:bottom w:val="single" w:color="auto" w:sz="4" w:space="0"/>
              <w:right w:val="single" w:color="auto" w:sz="4" w:space="0"/>
            </w:tcBorders>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number of CCs</w:t>
            </w:r>
          </w:p>
        </w:tc>
        <w:tc>
          <w:tcPr>
            <w:tcW w:w="897" w:type="dxa"/>
            <w:tcBorders>
              <w:top w:val="single" w:color="auto" w:sz="4" w:space="0"/>
              <w:left w:val="single" w:color="auto" w:sz="4" w:space="0"/>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 BW Classes</w:t>
            </w:r>
          </w:p>
        </w:tc>
        <w:tc>
          <w:tcPr>
            <w:tcW w:w="1086" w:type="dxa"/>
            <w:tcBorders>
              <w:top w:val="single" w:color="auto" w:sz="4" w:space="0"/>
              <w:left w:val="nil"/>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Duplex-mode</w:t>
            </w:r>
          </w:p>
        </w:tc>
        <w:tc>
          <w:tcPr>
            <w:tcW w:w="1286" w:type="dxa"/>
            <w:tcBorders>
              <w:top w:val="single" w:color="auto" w:sz="4" w:space="0"/>
              <w:left w:val="nil"/>
              <w:bottom w:val="single" w:color="auto" w:sz="4" w:space="0"/>
              <w:right w:val="single" w:color="auto" w:sz="4" w:space="0"/>
            </w:tcBorders>
            <w:shd w:val="clear" w:color="auto" w:fill="auto"/>
            <w:noWrap/>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Release</w:t>
            </w:r>
          </w:p>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independent from</w:t>
            </w:r>
          </w:p>
        </w:tc>
        <w:tc>
          <w:tcPr>
            <w:tcW w:w="1366" w:type="dxa"/>
            <w:tcBorders>
              <w:top w:val="single" w:color="auto" w:sz="4" w:space="0"/>
              <w:left w:val="nil"/>
              <w:bottom w:val="single" w:color="auto" w:sz="4" w:space="0"/>
              <w:right w:val="single" w:color="auto" w:sz="4" w:space="0"/>
            </w:tcBorders>
          </w:tcPr>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requirements to be fulfilled</w:t>
            </w:r>
          </w:p>
          <w:p>
            <w:pPr>
              <w:pStyle w:val="21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(see 38.307 of the REL in which the CA configuration was introduced)</w:t>
            </w:r>
          </w:p>
        </w:tc>
      </w:tr>
      <w:tr>
        <w:tblPrEx>
          <w:tblCellMar>
            <w:top w:w="0" w:type="dxa"/>
            <w:left w:w="108" w:type="dxa"/>
            <w:bottom w:w="0" w:type="dxa"/>
            <w:right w:w="108" w:type="dxa"/>
          </w:tblCellMar>
        </w:tblPrEx>
        <w:trPr>
          <w:trHeight w:val="449" w:hRule="atLeast"/>
        </w:trPr>
        <w:tc>
          <w:tcPr>
            <w:tcW w:w="1985" w:type="dxa"/>
            <w:tcBorders>
              <w:top w:val="single" w:color="auto" w:sz="4" w:space="0"/>
              <w:left w:val="single" w:color="auto" w:sz="4" w:space="0"/>
              <w:right w:val="single" w:color="auto" w:sz="4" w:space="0"/>
            </w:tcBorders>
            <w:shd w:val="clear" w:color="auto" w:fill="auto"/>
            <w:noWrap/>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Inter-band CA configurations within NR FR1</w:t>
            </w:r>
          </w:p>
        </w:tc>
        <w:tc>
          <w:tcPr>
            <w:tcW w:w="746" w:type="dxa"/>
            <w:tcBorders>
              <w:top w:val="single" w:color="auto" w:sz="4" w:space="0"/>
              <w:left w:val="single" w:color="auto" w:sz="4" w:space="0"/>
              <w:right w:val="single" w:color="auto" w:sz="4" w:space="0"/>
            </w:tcBorders>
            <w:shd w:val="clear" w:color="auto" w:fill="auto"/>
            <w:noWrap/>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DL</w:t>
            </w:r>
          </w:p>
        </w:tc>
        <w:tc>
          <w:tcPr>
            <w:tcW w:w="1226" w:type="dxa"/>
            <w:tcBorders>
              <w:top w:val="single" w:color="auto" w:sz="4" w:space="0"/>
              <w:left w:val="single" w:color="auto" w:sz="4" w:space="0"/>
              <w:right w:val="single" w:color="auto" w:sz="4" w:space="0"/>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TW"/>
              </w:rPr>
              <w:t>4</w:t>
            </w:r>
          </w:p>
        </w:tc>
        <w:tc>
          <w:tcPr>
            <w:tcW w:w="877" w:type="dxa"/>
            <w:tcBorders>
              <w:top w:val="single" w:color="auto" w:sz="4" w:space="0"/>
              <w:left w:val="nil"/>
              <w:right w:val="single" w:color="auto" w:sz="4" w:space="0"/>
            </w:tcBorders>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TW"/>
              </w:rPr>
              <w:t>5</w:t>
            </w:r>
          </w:p>
        </w:tc>
        <w:tc>
          <w:tcPr>
            <w:tcW w:w="897" w:type="dxa"/>
            <w:tcBorders>
              <w:top w:val="nil"/>
              <w:left w:val="single" w:color="auto" w:sz="4" w:space="0"/>
              <w:bottom w:val="single" w:color="auto" w:sz="4" w:space="0"/>
              <w:right w:val="single" w:color="auto" w:sz="4" w:space="0"/>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w:t>
            </w:r>
            <w:r>
              <w:rPr>
                <w:rFonts w:hint="default" w:ascii="Times New Roman" w:hAnsi="Times New Roman" w:cs="Times New Roman"/>
                <w:color w:val="auto"/>
                <w:sz w:val="18"/>
                <w:szCs w:val="18"/>
                <w:lang w:eastAsia="zh-TW"/>
              </w:rPr>
              <w:t>, B, C</w:t>
            </w:r>
          </w:p>
        </w:tc>
        <w:tc>
          <w:tcPr>
            <w:tcW w:w="1086" w:type="dxa"/>
            <w:tcBorders>
              <w:top w:val="nil"/>
              <w:left w:val="nil"/>
              <w:bottom w:val="single" w:color="auto" w:sz="4" w:space="0"/>
              <w:right w:val="nil"/>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 xml:space="preserve">TDD, FDD, SDL and </w:t>
            </w:r>
            <w:r>
              <w:rPr>
                <w:rFonts w:hint="default" w:ascii="Times New Roman" w:hAnsi="Times New Roman" w:cs="Times New Roman"/>
                <w:color w:val="auto"/>
                <w:sz w:val="18"/>
                <w:szCs w:val="18"/>
              </w:rPr>
              <w:t>TDD</w:t>
            </w:r>
            <w:r>
              <w:rPr>
                <w:rFonts w:hint="default" w:ascii="Times New Roman" w:hAnsi="Times New Roman" w:eastAsia="宋体" w:cs="Times New Roman"/>
                <w:color w:val="auto"/>
                <w:sz w:val="18"/>
                <w:szCs w:val="18"/>
                <w:lang w:val="en-US" w:eastAsia="zh-CN"/>
              </w:rPr>
              <w:t>, FDD and TDD</w:t>
            </w:r>
          </w:p>
        </w:tc>
        <w:tc>
          <w:tcPr>
            <w:tcW w:w="1286" w:type="dxa"/>
            <w:tcBorders>
              <w:top w:val="nil"/>
              <w:left w:val="single" w:color="auto" w:sz="4" w:space="0"/>
              <w:bottom w:val="single" w:color="auto" w:sz="4" w:space="0"/>
              <w:right w:val="single" w:color="auto" w:sz="4" w:space="0"/>
            </w:tcBorders>
            <w:shd w:val="clear" w:color="auto" w:fill="auto"/>
            <w:noWrap/>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Rel-15</w:t>
            </w:r>
          </w:p>
        </w:tc>
        <w:tc>
          <w:tcPr>
            <w:tcW w:w="1366" w:type="dxa"/>
            <w:tcBorders>
              <w:top w:val="single" w:color="auto" w:sz="4" w:space="0"/>
              <w:left w:val="single" w:color="auto" w:sz="4" w:space="0"/>
              <w:right w:val="single" w:color="auto" w:sz="4" w:space="0"/>
            </w:tcBorders>
            <w:shd w:val="clear" w:color="auto" w:fill="auto"/>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Table </w:t>
            </w:r>
            <w:r>
              <w:rPr>
                <w:rFonts w:hint="default" w:ascii="Times New Roman" w:hAnsi="Times New Roman" w:cs="Times New Roman"/>
                <w:color w:val="auto"/>
                <w:sz w:val="18"/>
                <w:szCs w:val="18"/>
                <w:lang w:eastAsia="ja-JP"/>
              </w:rPr>
              <w:t>B.4.2-1</w:t>
            </w:r>
          </w:p>
        </w:tc>
      </w:tr>
      <w:tr>
        <w:tblPrEx>
          <w:tblCellMar>
            <w:top w:w="0" w:type="dxa"/>
            <w:left w:w="108" w:type="dxa"/>
            <w:bottom w:w="0" w:type="dxa"/>
            <w:right w:w="108" w:type="dxa"/>
          </w:tblCellMar>
        </w:tblPrEx>
        <w:trPr>
          <w:trHeight w:val="288" w:hRule="atLeast"/>
        </w:trPr>
        <w:tc>
          <w:tcPr>
            <w:tcW w:w="1985" w:type="dxa"/>
            <w:tcBorders>
              <w:left w:val="single" w:color="auto" w:sz="4" w:space="0"/>
              <w:bottom w:val="single" w:color="auto" w:sz="4" w:space="0"/>
              <w:right w:val="single" w:color="auto" w:sz="4" w:space="0"/>
            </w:tcBorders>
            <w:shd w:val="clear" w:color="auto" w:fill="auto"/>
          </w:tcPr>
          <w:p>
            <w:pPr>
              <w:pStyle w:val="210"/>
              <w:rPr>
                <w:rFonts w:hint="default" w:ascii="Times New Roman" w:hAnsi="Times New Roman" w:cs="Times New Roman"/>
                <w:color w:val="auto"/>
                <w:sz w:val="18"/>
                <w:szCs w:val="18"/>
              </w:rPr>
            </w:pPr>
          </w:p>
        </w:tc>
        <w:tc>
          <w:tcPr>
            <w:tcW w:w="746"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UL</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77" w:type="dxa"/>
            <w:tcBorders>
              <w:top w:val="single" w:color="auto" w:sz="4" w:space="0"/>
              <w:left w:val="nil"/>
              <w:bottom w:val="single" w:color="auto" w:sz="4" w:space="0"/>
              <w:right w:val="single" w:color="auto" w:sz="4" w:space="0"/>
            </w:tcBorders>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9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w:t>
            </w:r>
          </w:p>
        </w:tc>
        <w:tc>
          <w:tcPr>
            <w:tcW w:w="1086" w:type="dxa"/>
            <w:tcBorders>
              <w:top w:val="single" w:color="auto" w:sz="4" w:space="0"/>
              <w:left w:val="nil"/>
              <w:bottom w:val="single" w:color="auto" w:sz="4" w:space="0"/>
              <w:right w:val="nil"/>
            </w:tcBorders>
            <w:shd w:val="clear" w:color="auto" w:fill="auto"/>
            <w:noWrap/>
            <w:vAlign w:val="center"/>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TDD, </w:t>
            </w:r>
            <w:r>
              <w:rPr>
                <w:rFonts w:hint="default" w:ascii="Times New Roman" w:hAnsi="Times New Roman" w:eastAsia="宋体" w:cs="Times New Roman"/>
                <w:color w:val="auto"/>
                <w:sz w:val="18"/>
                <w:szCs w:val="18"/>
                <w:lang w:val="en-US" w:eastAsia="zh-CN"/>
              </w:rPr>
              <w:t xml:space="preserve">FDD, </w:t>
            </w:r>
            <w:r>
              <w:rPr>
                <w:rFonts w:hint="default" w:ascii="Times New Roman" w:hAnsi="Times New Roman" w:cs="Times New Roman"/>
                <w:color w:val="auto"/>
                <w:sz w:val="18"/>
                <w:szCs w:val="18"/>
              </w:rPr>
              <w:t>FDD and TDD</w:t>
            </w:r>
          </w:p>
        </w:tc>
        <w:tc>
          <w:tcPr>
            <w:tcW w:w="1286" w:type="dxa"/>
            <w:tcBorders>
              <w:top w:val="single" w:color="auto" w:sz="4" w:space="0"/>
              <w:left w:val="single" w:color="auto" w:sz="4" w:space="0"/>
              <w:bottom w:val="single" w:color="auto" w:sz="4" w:space="0"/>
              <w:right w:val="single" w:color="auto" w:sz="4" w:space="0"/>
            </w:tcBorders>
            <w:shd w:val="clear" w:color="auto" w:fill="auto"/>
            <w:noWrap/>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Rel-15</w:t>
            </w:r>
          </w:p>
        </w:tc>
        <w:tc>
          <w:tcPr>
            <w:tcW w:w="1366" w:type="dxa"/>
            <w:tcBorders>
              <w:left w:val="single" w:color="auto" w:sz="4" w:space="0"/>
              <w:bottom w:val="single" w:color="auto" w:sz="4" w:space="0"/>
              <w:right w:val="single" w:color="auto" w:sz="4" w:space="0"/>
            </w:tcBorders>
            <w:shd w:val="clear" w:color="auto" w:fill="auto"/>
          </w:tcPr>
          <w:p>
            <w:pPr>
              <w:pStyle w:val="210"/>
              <w:rPr>
                <w:rFonts w:hint="default" w:ascii="Times New Roman" w:hAnsi="Times New Roman" w:cs="Times New Roman"/>
                <w:color w:val="auto"/>
                <w:sz w:val="18"/>
                <w:szCs w:val="18"/>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vertAlign w:val="baseline"/>
          <w:lang w:val="en-US" w:eastAsia="zh-CN"/>
        </w:rPr>
        <w:t>Observat</w:t>
      </w:r>
      <w:r>
        <w:rPr>
          <w:rFonts w:hint="eastAsia" w:eastAsia="宋体" w:cs="Times New Roman"/>
          <w:b/>
          <w:bCs/>
          <w:color w:val="auto"/>
          <w:sz w:val="20"/>
          <w:szCs w:val="20"/>
          <w:highlight w:val="none"/>
          <w:lang w:val="en-US" w:eastAsia="zh-CN"/>
        </w:rPr>
        <w:t>ion 4: N</w:t>
      </w:r>
      <w:r>
        <w:rPr>
          <w:rFonts w:hint="eastAsia" w:eastAsia="宋体" w:cs="Times New Roman"/>
          <w:b/>
          <w:bCs/>
          <w:color w:val="auto"/>
          <w:sz w:val="20"/>
          <w:szCs w:val="20"/>
          <w:highlight w:val="none"/>
          <w:vertAlign w:val="baseline"/>
          <w:lang w:val="en-US" w:eastAsia="zh-CN"/>
        </w:rPr>
        <w:t>o BCS information for band combinations is included in the tables in TS38.307.</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RF requirements for inter-band CA in RAN4 spec are defined agnostics BCS. If the release independent for band combination related to specific BCS, then how to implement it in TS38.307 needs further discussion since it is needed to distinguish different release independent for different BCSs for the same configurations.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default"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5</w:t>
      </w:r>
      <w:r>
        <w:rPr>
          <w:rFonts w:hint="default"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if the release independent for band combination related to specific BCS, how to implement it in TS38.307 needs further discussion.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we provide some </w:t>
      </w:r>
      <w:r>
        <w:rPr>
          <w:rFonts w:hint="eastAsia" w:eastAsia="宋体" w:cs="Times New Roman"/>
          <w:i w:val="0"/>
          <w:iCs w:val="0"/>
          <w:color w:val="auto"/>
          <w:sz w:val="20"/>
          <w:szCs w:val="20"/>
          <w:highlight w:val="none"/>
          <w:lang w:val="en-US" w:eastAsia="zh-CN" w:bidi="ar-SA"/>
        </w:rPr>
        <w:t xml:space="preserve">further discussion on </w:t>
      </w:r>
      <w:r>
        <w:rPr>
          <w:rFonts w:hint="default" w:ascii="Times New Roman" w:hAnsi="Times New Roman" w:eastAsia="宋体" w:cs="Times New Roman"/>
          <w:i w:val="0"/>
          <w:iCs w:val="0"/>
          <w:color w:val="auto"/>
          <w:sz w:val="20"/>
          <w:szCs w:val="20"/>
          <w:highlight w:val="none"/>
          <w:lang w:val="en-US" w:eastAsia="zh-CN" w:bidi="ar-SA"/>
        </w:rPr>
        <w:t xml:space="preserve">BCS4 </w:t>
      </w:r>
      <w:r>
        <w:rPr>
          <w:rFonts w:hint="default" w:ascii="Times New Roman" w:hAnsi="Times New Roman" w:cs="Times New Roman"/>
          <w:b w:val="0"/>
          <w:bCs/>
          <w:color w:val="auto"/>
          <w:sz w:val="20"/>
          <w:szCs w:val="20"/>
        </w:rPr>
        <w:t>conf</w:t>
      </w:r>
      <w:r>
        <w:rPr>
          <w:rFonts w:hint="default" w:ascii="Times New Roman" w:hAnsi="Times New Roman" w:eastAsia="宋体" w:cs="Times New Roman"/>
          <w:i w:val="0"/>
          <w:iCs w:val="0"/>
          <w:color w:val="auto"/>
          <w:sz w:val="20"/>
          <w:szCs w:val="20"/>
          <w:highlight w:val="none"/>
          <w:lang w:val="en-US" w:eastAsia="zh-CN" w:bidi="ar-SA"/>
        </w:rPr>
        <w:t>igurations for inter-band NR CA</w:t>
      </w:r>
      <w:r>
        <w:rPr>
          <w:rFonts w:hint="eastAsia" w:eastAsia="宋体" w:cs="Times New Roman"/>
          <w:i w:val="0"/>
          <w:iCs w:val="0"/>
          <w:color w:val="auto"/>
          <w:sz w:val="20"/>
          <w:szCs w:val="20"/>
          <w:highlight w:val="none"/>
          <w:lang w:val="en-US" w:eastAsia="zh-CN" w:bidi="ar-SA"/>
        </w:rPr>
        <w:t xml:space="preserve">. The observations and proposals are summarized below.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vertAlign w:val="baseline"/>
          <w:lang w:val="en-US" w:eastAsia="zh-CN"/>
        </w:rPr>
        <w:t xml:space="preserve">Observation 1: For existing configurations, the guideline in the revised WID </w:t>
      </w:r>
      <w:r>
        <w:rPr>
          <w:rFonts w:hint="eastAsia" w:eastAsia="宋体" w:cs="Times New Roman"/>
          <w:b/>
          <w:bCs/>
          <w:color w:val="auto"/>
          <w:sz w:val="20"/>
          <w:szCs w:val="20"/>
          <w:highlight w:val="none"/>
          <w:lang w:val="en-US" w:eastAsia="zh-CN"/>
        </w:rPr>
        <w:t>implies the BCS4 can be applied to all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vertAlign w:val="baseline"/>
          <w:lang w:val="en-US" w:eastAsia="zh-CN"/>
        </w:rPr>
        <w:t xml:space="preserve">Observation 2: </w:t>
      </w:r>
      <w:r>
        <w:rPr>
          <w:rFonts w:hint="eastAsia" w:eastAsia="宋体" w:cs="Times New Roman"/>
          <w:b/>
          <w:bCs/>
          <w:color w:val="auto"/>
          <w:sz w:val="20"/>
          <w:szCs w:val="20"/>
          <w:highlight w:val="none"/>
          <w:lang w:val="en-US" w:eastAsia="zh-CN"/>
        </w:rPr>
        <w:t>T</w:t>
      </w:r>
      <w:r>
        <w:rPr>
          <w:rFonts w:hint="eastAsia" w:ascii="Times New Roman" w:hAnsi="Times New Roman" w:eastAsia="宋体" w:cs="Times New Roman"/>
          <w:b/>
          <w:bCs/>
          <w:color w:val="auto"/>
          <w:sz w:val="20"/>
          <w:szCs w:val="20"/>
          <w:highlight w:val="none"/>
          <w:lang w:val="en-US" w:eastAsia="zh-CN"/>
        </w:rPr>
        <w:t>he</w:t>
      </w:r>
      <w:r>
        <w:rPr>
          <w:rFonts w:hint="default" w:ascii="Times New Roman" w:hAnsi="Times New Roman" w:eastAsia="宋体" w:cs="Times New Roman"/>
          <w:b/>
          <w:bCs/>
          <w:color w:val="auto"/>
          <w:sz w:val="20"/>
          <w:szCs w:val="20"/>
          <w:highlight w:val="none"/>
          <w:vertAlign w:val="baseline"/>
          <w:lang w:val="en-US" w:eastAsia="zh-CN"/>
        </w:rPr>
        <w:t xml:space="preserve"> DL/UL configurations information can</w:t>
      </w:r>
      <w:r>
        <w:rPr>
          <w:rFonts w:hint="eastAsia" w:eastAsia="宋体" w:cs="Times New Roman"/>
          <w:b/>
          <w:bCs/>
          <w:color w:val="auto"/>
          <w:sz w:val="20"/>
          <w:szCs w:val="20"/>
          <w:highlight w:val="none"/>
          <w:vertAlign w:val="baseline"/>
          <w:lang w:val="en-US" w:eastAsia="zh-CN"/>
        </w:rPr>
        <w:t xml:space="preserve"> only</w:t>
      </w:r>
      <w:r>
        <w:rPr>
          <w:rFonts w:hint="default" w:ascii="Times New Roman" w:hAnsi="Times New Roman" w:eastAsia="宋体" w:cs="Times New Roman"/>
          <w:b/>
          <w:bCs/>
          <w:color w:val="auto"/>
          <w:sz w:val="20"/>
          <w:szCs w:val="20"/>
          <w:highlight w:val="none"/>
          <w:vertAlign w:val="baseline"/>
          <w:lang w:val="en-US" w:eastAsia="zh-CN"/>
        </w:rPr>
        <w:t xml:space="preserve"> be obtained</w:t>
      </w:r>
      <w:r>
        <w:rPr>
          <w:rFonts w:hint="eastAsia" w:eastAsia="宋体" w:cs="Times New Roman"/>
          <w:b/>
          <w:bCs/>
          <w:color w:val="auto"/>
          <w:sz w:val="20"/>
          <w:szCs w:val="20"/>
          <w:highlight w:val="none"/>
          <w:vertAlign w:val="baseline"/>
          <w:lang w:val="en-US" w:eastAsia="zh-CN"/>
        </w:rPr>
        <w:t xml:space="preserve"> from the configurations table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bidi="ar-SA"/>
        </w:rPr>
      </w:pPr>
      <w:r>
        <w:rPr>
          <w:rFonts w:hint="eastAsia" w:eastAsia="宋体" w:cs="Times New Roman"/>
          <w:b/>
          <w:bCs/>
          <w:color w:val="auto"/>
          <w:sz w:val="20"/>
          <w:szCs w:val="20"/>
          <w:highlight w:val="none"/>
          <w:vertAlign w:val="baseline"/>
          <w:lang w:val="en-US" w:eastAsia="zh-CN"/>
        </w:rPr>
        <w:t>Observat</w:t>
      </w:r>
      <w:r>
        <w:rPr>
          <w:rFonts w:hint="eastAsia" w:eastAsia="宋体" w:cs="Times New Roman"/>
          <w:b/>
          <w:bCs/>
          <w:color w:val="auto"/>
          <w:sz w:val="20"/>
          <w:szCs w:val="20"/>
          <w:highlight w:val="none"/>
          <w:lang w:val="en-US" w:eastAsia="zh-CN"/>
        </w:rPr>
        <w:t>ion 3:From RAN4 perspective, there are no differences between BCS4 and BCS5 but it might make things more complicated, and also BCS5 is out of the scope of BCS4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eastAsia" w:eastAsia="宋体" w:cs="Times New Roman"/>
          <w:b/>
          <w:bCs/>
          <w:color w:val="auto"/>
          <w:sz w:val="20"/>
          <w:szCs w:val="20"/>
          <w:highlight w:val="none"/>
          <w:vertAlign w:val="baseline"/>
          <w:lang w:val="en-US" w:eastAsia="zh-CN"/>
        </w:rPr>
        <w:t>Observat</w:t>
      </w:r>
      <w:r>
        <w:rPr>
          <w:rFonts w:hint="eastAsia" w:eastAsia="宋体" w:cs="Times New Roman"/>
          <w:b/>
          <w:bCs/>
          <w:color w:val="auto"/>
          <w:sz w:val="20"/>
          <w:szCs w:val="20"/>
          <w:highlight w:val="none"/>
          <w:lang w:val="en-US" w:eastAsia="zh-CN"/>
        </w:rPr>
        <w:t>ion 4: N</w:t>
      </w:r>
      <w:r>
        <w:rPr>
          <w:rFonts w:hint="eastAsia" w:eastAsia="宋体" w:cs="Times New Roman"/>
          <w:b/>
          <w:bCs/>
          <w:color w:val="auto"/>
          <w:sz w:val="20"/>
          <w:szCs w:val="20"/>
          <w:highlight w:val="none"/>
          <w:vertAlign w:val="baseline"/>
          <w:lang w:val="en-US" w:eastAsia="zh-CN"/>
        </w:rPr>
        <w:t>o BCS information for band combinations is included in the tables in TS38.307.</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1. How to apply BCS4 for intra-band NR CA need</w:t>
      </w:r>
      <w:r>
        <w:rPr>
          <w:rFonts w:hint="eastAsia" w:eastAsia="宋体" w:cs="Times New Roman"/>
          <w:b/>
          <w:bCs/>
          <w:color w:val="auto"/>
          <w:sz w:val="20"/>
          <w:szCs w:val="20"/>
          <w:highlight w:val="none"/>
          <w:lang w:val="en-US" w:eastAsia="zh-CN"/>
        </w:rPr>
        <w:t>s</w:t>
      </w:r>
      <w:r>
        <w:rPr>
          <w:rFonts w:hint="default" w:ascii="Times New Roman" w:hAnsi="Times New Roman" w:eastAsia="宋体" w:cs="Times New Roman"/>
          <w:b/>
          <w:bCs/>
          <w:color w:val="auto"/>
          <w:sz w:val="20"/>
          <w:szCs w:val="20"/>
          <w:highlight w:val="none"/>
          <w:lang w:val="en-US" w:eastAsia="zh-CN"/>
        </w:rPr>
        <w:t xml:space="preserve"> further study.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vertAlign w:val="baseline"/>
          <w:lang w:val="en-US" w:eastAsia="zh-CN"/>
        </w:rPr>
      </w:pPr>
      <w:r>
        <w:rPr>
          <w:rFonts w:hint="eastAsia" w:eastAsia="宋体" w:cs="Times New Roman"/>
          <w:b/>
          <w:bCs/>
          <w:color w:val="auto"/>
          <w:sz w:val="20"/>
          <w:szCs w:val="20"/>
          <w:highlight w:val="none"/>
          <w:lang w:val="en-US" w:eastAsia="zh-CN"/>
        </w:rPr>
        <w:t>- For existing band configuration, BCS4 can be applied to all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 For brand new band configuration, </w:t>
      </w:r>
      <w:r>
        <w:rPr>
          <w:rFonts w:hint="default" w:ascii="Times New Roman" w:hAnsi="Times New Roman" w:eastAsia="宋体" w:cs="Times New Roman"/>
          <w:b/>
          <w:bCs/>
          <w:color w:val="auto"/>
          <w:sz w:val="20"/>
          <w:szCs w:val="20"/>
          <w:highlight w:val="none"/>
          <w:lang w:val="en-US" w:eastAsia="zh-CN"/>
        </w:rPr>
        <w:t>BCS4 should be applied on a per request basis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3</w:t>
      </w:r>
      <w:r>
        <w:rPr>
          <w:rFonts w:hint="default" w:ascii="Times New Roman" w:hAnsi="Times New Roman" w:eastAsia="宋体" w:cs="Times New Roman"/>
          <w:b/>
          <w:bCs/>
          <w:color w:val="auto"/>
          <w:sz w:val="20"/>
          <w:szCs w:val="20"/>
          <w:highlight w:val="none"/>
          <w:lang w:val="en-US" w:eastAsia="zh-CN"/>
        </w:rPr>
        <w:t xml:space="preserve">. BCS4 needs to be indicated in the </w:t>
      </w:r>
      <w:r>
        <w:rPr>
          <w:rFonts w:hint="eastAsia" w:eastAsia="宋体" w:cs="Times New Roman"/>
          <w:b/>
          <w:bCs/>
          <w:color w:val="auto"/>
          <w:sz w:val="20"/>
          <w:szCs w:val="20"/>
          <w:highlight w:val="none"/>
          <w:lang w:val="en-US" w:eastAsia="zh-CN"/>
        </w:rPr>
        <w:t xml:space="preserve">configuration </w:t>
      </w:r>
      <w:r>
        <w:rPr>
          <w:rFonts w:hint="default" w:ascii="Times New Roman" w:hAnsi="Times New Roman" w:eastAsia="宋体" w:cs="Times New Roman"/>
          <w:b/>
          <w:bCs/>
          <w:color w:val="auto"/>
          <w:sz w:val="20"/>
          <w:szCs w:val="20"/>
          <w:highlight w:val="none"/>
          <w:lang w:val="en-US" w:eastAsia="zh-CN"/>
        </w:rPr>
        <w:t>table</w:t>
      </w:r>
      <w:r>
        <w:rPr>
          <w:rFonts w:hint="eastAsia" w:eastAsia="宋体" w:cs="Times New Roman"/>
          <w:b/>
          <w:bCs/>
          <w:color w:val="auto"/>
          <w:sz w:val="20"/>
          <w:szCs w:val="20"/>
          <w:highlight w:val="none"/>
          <w:lang w:val="en-US" w:eastAsia="zh-CN"/>
        </w:rPr>
        <w:t xml:space="preserve">s. A new single row for BCS4 (2 bands) in tables 2.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default"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4</w:t>
      </w:r>
      <w:r>
        <w:rPr>
          <w:rFonts w:hint="default" w:eastAsia="宋体" w:cs="Times New Roman"/>
          <w:b/>
          <w:bCs/>
          <w:color w:val="auto"/>
          <w:sz w:val="20"/>
          <w:szCs w:val="20"/>
          <w:highlight w:val="none"/>
          <w:lang w:val="en-US" w:eastAsia="zh-CN"/>
        </w:rPr>
        <w:t>: For the same band combination, in case of both BCS0/1/2/3 and BCS4 exist in the WID, TP and draft CRs for BCS4 is enough, and BCS0/1/2/3 combinations are completed by default after BCS4 combinations TP/draft CR are approved.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default"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5</w:t>
      </w:r>
      <w:r>
        <w:rPr>
          <w:rFonts w:hint="default"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if the release independent for band combination related to specific BCS, how to implement it in TS38.307 needs further discussion.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ja-JP"/>
        </w:rPr>
      </w:pPr>
      <w:r>
        <w:rPr>
          <w:rFonts w:hint="default" w:ascii="Times New Roman" w:hAnsi="Times New Roman" w:eastAsia="宋体" w:cs="Times New Roman"/>
          <w:b w:val="0"/>
          <w:bCs w:val="0"/>
          <w:color w:val="auto"/>
          <w:sz w:val="18"/>
          <w:szCs w:val="18"/>
          <w:highlight w:val="none"/>
          <w:lang w:val="en-US" w:eastAsia="zh-CN"/>
        </w:rPr>
        <w:t xml:space="preserve">[1] </w:t>
      </w:r>
      <w:r>
        <w:rPr>
          <w:rFonts w:hint="default" w:ascii="Times New Roman" w:hAnsi="Times New Roman" w:eastAsia="宋体" w:cs="Times New Roman"/>
          <w:b w:val="0"/>
          <w:bCs w:val="0"/>
          <w:color w:val="auto"/>
          <w:sz w:val="18"/>
          <w:szCs w:val="18"/>
          <w:highlight w:val="none"/>
          <w:lang w:val="en-US" w:eastAsia="ja-JP"/>
        </w:rPr>
        <w:t>R4-2105490</w:t>
      </w:r>
      <w:r>
        <w:rPr>
          <w:rFonts w:hint="default" w:ascii="Times New Roman" w:hAnsi="Times New Roman" w:eastAsia="宋体" w:cs="Times New Roman"/>
          <w:b w:val="0"/>
          <w:bCs w:val="0"/>
          <w:color w:val="auto"/>
          <w:sz w:val="18"/>
          <w:szCs w:val="18"/>
          <w:highlight w:val="none"/>
          <w:lang w:val="en-US" w:eastAsia="zh-CN"/>
        </w:rPr>
        <w:t xml:space="preserve">, </w:t>
      </w:r>
      <w:r>
        <w:rPr>
          <w:rFonts w:hint="default" w:ascii="Times New Roman" w:hAnsi="Times New Roman" w:eastAsia="宋体" w:cs="Times New Roman"/>
          <w:b w:val="0"/>
          <w:bCs w:val="0"/>
          <w:color w:val="auto"/>
          <w:sz w:val="18"/>
          <w:szCs w:val="18"/>
          <w:highlight w:val="none"/>
          <w:lang w:val="en-US" w:eastAsia="ja-JP"/>
        </w:rPr>
        <w:t>Way forward on open issues for BCS4 (other than MSD)</w:t>
      </w:r>
      <w:r>
        <w:rPr>
          <w:rFonts w:hint="default" w:ascii="Times New Roman" w:hAnsi="Times New Roman" w:eastAsia="宋体" w:cs="Times New Roman"/>
          <w:b w:val="0"/>
          <w:bCs w:val="0"/>
          <w:color w:val="auto"/>
          <w:sz w:val="18"/>
          <w:szCs w:val="18"/>
          <w:highlight w:val="none"/>
          <w:lang w:val="en-US" w:eastAsia="zh-CN"/>
        </w:rPr>
        <w:t xml:space="preserve">, </w:t>
      </w:r>
      <w:r>
        <w:rPr>
          <w:rFonts w:hint="default" w:ascii="Times New Roman" w:hAnsi="Times New Roman" w:eastAsia="宋体" w:cs="Times New Roman"/>
          <w:b w:val="0"/>
          <w:bCs w:val="0"/>
          <w:color w:val="auto"/>
          <w:sz w:val="18"/>
          <w:szCs w:val="18"/>
          <w:highlight w:val="none"/>
          <w:lang w:val="en-US" w:eastAsia="ja-JP"/>
        </w:rPr>
        <w:t xml:space="preserve"> T-Mobile USA</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[2] RP-202832 New WID: Introduction of bandwidth combination set 4 (BCS4) for NR, Ericsson, T-Mobile USA</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vertAlign w:val="baseline"/>
          <w:lang w:val="en-US" w:eastAsia="zh-CN"/>
        </w:rPr>
      </w:pPr>
      <w:r>
        <w:rPr>
          <w:rFonts w:hint="eastAsia" w:ascii="Times New Roman" w:hAnsi="Times New Roman" w:eastAsia="宋体" w:cs="Times New Roman"/>
          <w:b w:val="0"/>
          <w:bCs w:val="0"/>
          <w:color w:val="auto"/>
          <w:sz w:val="18"/>
          <w:szCs w:val="18"/>
          <w:highlight w:val="none"/>
          <w:lang w:val="en-US" w:eastAsia="zh-CN"/>
        </w:rPr>
        <w:t>[3]</w:t>
      </w:r>
      <w:r>
        <w:rPr>
          <w:rFonts w:hint="default" w:ascii="Times New Roman" w:hAnsi="Times New Roman" w:eastAsia="宋体" w:cs="Times New Roman"/>
          <w:b w:val="0"/>
          <w:bCs w:val="0"/>
          <w:color w:val="auto"/>
          <w:sz w:val="18"/>
          <w:szCs w:val="18"/>
          <w:highlight w:val="none"/>
          <w:lang w:val="en-US" w:eastAsia="zh-CN"/>
        </w:rPr>
        <w:t>R4-2106367</w:t>
      </w:r>
      <w:r>
        <w:rPr>
          <w:rFonts w:hint="eastAsia" w:ascii="Times New Roman" w:hAnsi="Times New Roman" w:eastAsia="宋体" w:cs="Times New Roman"/>
          <w:b w:val="0"/>
          <w:bCs w:val="0"/>
          <w:color w:val="auto"/>
          <w:sz w:val="18"/>
          <w:szCs w:val="18"/>
          <w:highlight w:val="none"/>
          <w:lang w:val="en-US" w:eastAsia="zh-CN"/>
        </w:rPr>
        <w:t xml:space="preserve">, </w:t>
      </w:r>
      <w:r>
        <w:rPr>
          <w:rFonts w:hint="default" w:ascii="Times New Roman" w:hAnsi="Times New Roman" w:eastAsia="宋体" w:cs="Times New Roman"/>
          <w:b w:val="0"/>
          <w:bCs w:val="0"/>
          <w:color w:val="auto"/>
          <w:sz w:val="18"/>
          <w:szCs w:val="18"/>
          <w:highlight w:val="none"/>
          <w:lang w:val="en-US" w:eastAsia="zh-CN"/>
        </w:rPr>
        <w:t xml:space="preserve">Templates for </w:t>
      </w:r>
      <w:r>
        <w:rPr>
          <w:rFonts w:hint="default" w:ascii="Times New Roman" w:hAnsi="Times New Roman" w:eastAsia="宋体" w:cs="Times New Roman"/>
          <w:b w:val="0"/>
          <w:bCs w:val="0"/>
          <w:color w:val="auto"/>
          <w:sz w:val="18"/>
          <w:szCs w:val="18"/>
          <w:highlight w:val="none"/>
          <w:lang w:val="en-US" w:eastAsia="ja-JP"/>
        </w:rPr>
        <w:t>BCS4 configuration</w:t>
      </w:r>
      <w:r>
        <w:rPr>
          <w:rFonts w:hint="default" w:ascii="Times New Roman" w:hAnsi="Times New Roman" w:eastAsia="宋体" w:cs="Times New Roman"/>
          <w:b w:val="0"/>
          <w:bCs w:val="0"/>
          <w:color w:val="auto"/>
          <w:sz w:val="18"/>
          <w:szCs w:val="18"/>
          <w:highlight w:val="none"/>
          <w:lang w:val="en-US" w:eastAsia="zh-CN"/>
        </w:rPr>
        <w:t>s for inter-band NR CA</w:t>
      </w:r>
      <w:r>
        <w:rPr>
          <w:rFonts w:hint="default" w:ascii="Times New Roman" w:hAnsi="Times New Roman" w:eastAsia="宋体" w:cs="Times New Roman"/>
          <w:b w:val="0"/>
          <w:bCs w:val="0"/>
          <w:color w:val="auto"/>
          <w:sz w:val="18"/>
          <w:szCs w:val="18"/>
          <w:highlight w:val="none"/>
          <w:lang w:val="en-US" w:eastAsia="ja-JP"/>
        </w:rPr>
        <w:t>, ZTE Corporation</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558B93"/>
    <w:multiLevelType w:val="singleLevel"/>
    <w:tmpl w:val="D3558B93"/>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0B33E8"/>
    <w:multiLevelType w:val="singleLevel"/>
    <w:tmpl w:val="760B33E8"/>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3"/>
  </w:num>
  <w:num w:numId="9">
    <w:abstractNumId w:val="6"/>
  </w:num>
  <w:num w:numId="10">
    <w:abstractNumId w:val="7"/>
  </w:num>
  <w:num w:numId="11">
    <w:abstractNumId w:val="5"/>
  </w:num>
  <w:num w:numId="12">
    <w:abstractNumId w:val="12"/>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B31EC"/>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63299"/>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422B0"/>
    <w:rsid w:val="0467131C"/>
    <w:rsid w:val="04740CAB"/>
    <w:rsid w:val="047C7418"/>
    <w:rsid w:val="047F211F"/>
    <w:rsid w:val="047F770F"/>
    <w:rsid w:val="04921B49"/>
    <w:rsid w:val="049377A7"/>
    <w:rsid w:val="04970C3A"/>
    <w:rsid w:val="04A63DE5"/>
    <w:rsid w:val="04AD5427"/>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B3C74"/>
    <w:rsid w:val="071F2569"/>
    <w:rsid w:val="07255A60"/>
    <w:rsid w:val="072A7C76"/>
    <w:rsid w:val="072D52E7"/>
    <w:rsid w:val="07350CA3"/>
    <w:rsid w:val="07392E0B"/>
    <w:rsid w:val="073B0379"/>
    <w:rsid w:val="073B271F"/>
    <w:rsid w:val="073F1FDF"/>
    <w:rsid w:val="07447DDE"/>
    <w:rsid w:val="074E66A6"/>
    <w:rsid w:val="07505939"/>
    <w:rsid w:val="075460A8"/>
    <w:rsid w:val="07560AAB"/>
    <w:rsid w:val="076931E4"/>
    <w:rsid w:val="076D415D"/>
    <w:rsid w:val="07703155"/>
    <w:rsid w:val="07713D9D"/>
    <w:rsid w:val="077330B7"/>
    <w:rsid w:val="07743668"/>
    <w:rsid w:val="07756E39"/>
    <w:rsid w:val="07772C03"/>
    <w:rsid w:val="077738E6"/>
    <w:rsid w:val="077E2C29"/>
    <w:rsid w:val="077E5ACF"/>
    <w:rsid w:val="077F0549"/>
    <w:rsid w:val="077F69B0"/>
    <w:rsid w:val="07815D85"/>
    <w:rsid w:val="0786674C"/>
    <w:rsid w:val="07880BDC"/>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20A31"/>
    <w:rsid w:val="08443734"/>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23012"/>
    <w:rsid w:val="0B1C4BBB"/>
    <w:rsid w:val="0B1F01C1"/>
    <w:rsid w:val="0B2110B3"/>
    <w:rsid w:val="0B300128"/>
    <w:rsid w:val="0B311459"/>
    <w:rsid w:val="0B3171CB"/>
    <w:rsid w:val="0B3276E8"/>
    <w:rsid w:val="0B354623"/>
    <w:rsid w:val="0B4076CD"/>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44EE9"/>
    <w:rsid w:val="0BE7693E"/>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410E9"/>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7889"/>
    <w:rsid w:val="0F2604D0"/>
    <w:rsid w:val="0F266366"/>
    <w:rsid w:val="0F286098"/>
    <w:rsid w:val="0F2C209F"/>
    <w:rsid w:val="0F2D3557"/>
    <w:rsid w:val="0F3A2446"/>
    <w:rsid w:val="0F3A4528"/>
    <w:rsid w:val="0F3F5105"/>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52C02"/>
    <w:rsid w:val="0F884C38"/>
    <w:rsid w:val="0F8939F9"/>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35DD"/>
    <w:rsid w:val="111E4474"/>
    <w:rsid w:val="112103C5"/>
    <w:rsid w:val="11223E45"/>
    <w:rsid w:val="1125568E"/>
    <w:rsid w:val="1128676D"/>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75C26"/>
    <w:rsid w:val="1197723B"/>
    <w:rsid w:val="119C5BA3"/>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70745"/>
    <w:rsid w:val="126B3428"/>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94E33"/>
    <w:rsid w:val="12EA0359"/>
    <w:rsid w:val="12F9591A"/>
    <w:rsid w:val="130B1D8A"/>
    <w:rsid w:val="130B4E7B"/>
    <w:rsid w:val="131358FB"/>
    <w:rsid w:val="1316198D"/>
    <w:rsid w:val="13173505"/>
    <w:rsid w:val="131F3AD2"/>
    <w:rsid w:val="13293EE0"/>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C283B"/>
    <w:rsid w:val="14AD09E6"/>
    <w:rsid w:val="14B071EA"/>
    <w:rsid w:val="14B67779"/>
    <w:rsid w:val="14BA2E15"/>
    <w:rsid w:val="14BD5CC4"/>
    <w:rsid w:val="14C42409"/>
    <w:rsid w:val="14C510C3"/>
    <w:rsid w:val="14C824FC"/>
    <w:rsid w:val="14CB2138"/>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B5E01"/>
    <w:rsid w:val="157C0E9E"/>
    <w:rsid w:val="15822789"/>
    <w:rsid w:val="1587473D"/>
    <w:rsid w:val="158B3505"/>
    <w:rsid w:val="158E6DA3"/>
    <w:rsid w:val="159668BE"/>
    <w:rsid w:val="15966AD0"/>
    <w:rsid w:val="159C7418"/>
    <w:rsid w:val="15A075BE"/>
    <w:rsid w:val="15A1736B"/>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93D17"/>
    <w:rsid w:val="188D7FF5"/>
    <w:rsid w:val="188F36D0"/>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82B67"/>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4E5B"/>
    <w:rsid w:val="1B376F45"/>
    <w:rsid w:val="1B396C2C"/>
    <w:rsid w:val="1B3F0D59"/>
    <w:rsid w:val="1B443E81"/>
    <w:rsid w:val="1B450F52"/>
    <w:rsid w:val="1B4609E6"/>
    <w:rsid w:val="1B464AEE"/>
    <w:rsid w:val="1B466DE6"/>
    <w:rsid w:val="1B4C1107"/>
    <w:rsid w:val="1B5F4876"/>
    <w:rsid w:val="1B604F76"/>
    <w:rsid w:val="1B631195"/>
    <w:rsid w:val="1B66533F"/>
    <w:rsid w:val="1B68053E"/>
    <w:rsid w:val="1B6B3087"/>
    <w:rsid w:val="1B740741"/>
    <w:rsid w:val="1B794FC4"/>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5285C"/>
    <w:rsid w:val="1C095057"/>
    <w:rsid w:val="1C0A570F"/>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9538F"/>
    <w:rsid w:val="1C6B4846"/>
    <w:rsid w:val="1C704DD8"/>
    <w:rsid w:val="1C727B26"/>
    <w:rsid w:val="1C784DDC"/>
    <w:rsid w:val="1C7C3094"/>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157E5"/>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D5BB8"/>
    <w:rsid w:val="1F9E5C18"/>
    <w:rsid w:val="1FAA09E6"/>
    <w:rsid w:val="1FAB6CD7"/>
    <w:rsid w:val="1FAE3795"/>
    <w:rsid w:val="1FAF489E"/>
    <w:rsid w:val="1FB15F08"/>
    <w:rsid w:val="1FB41DEF"/>
    <w:rsid w:val="1FC115AD"/>
    <w:rsid w:val="1FC70AB5"/>
    <w:rsid w:val="1FCB00B8"/>
    <w:rsid w:val="1FCB0B4F"/>
    <w:rsid w:val="1FCE3369"/>
    <w:rsid w:val="1FD06AC3"/>
    <w:rsid w:val="1FD41A09"/>
    <w:rsid w:val="1FDB3076"/>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1CAF"/>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D5256"/>
    <w:rsid w:val="23101B7A"/>
    <w:rsid w:val="231052D0"/>
    <w:rsid w:val="23113AE9"/>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75B41"/>
    <w:rsid w:val="254915A6"/>
    <w:rsid w:val="255046DA"/>
    <w:rsid w:val="25504E7F"/>
    <w:rsid w:val="2556480E"/>
    <w:rsid w:val="255F00C9"/>
    <w:rsid w:val="255F0ABB"/>
    <w:rsid w:val="25616177"/>
    <w:rsid w:val="25646EEA"/>
    <w:rsid w:val="25684907"/>
    <w:rsid w:val="25721605"/>
    <w:rsid w:val="25730ED4"/>
    <w:rsid w:val="257820B7"/>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A14B6"/>
    <w:rsid w:val="261D31A9"/>
    <w:rsid w:val="26246E3B"/>
    <w:rsid w:val="26286168"/>
    <w:rsid w:val="262A73C0"/>
    <w:rsid w:val="262B52C5"/>
    <w:rsid w:val="262D78D8"/>
    <w:rsid w:val="262F3AEB"/>
    <w:rsid w:val="263A1E7C"/>
    <w:rsid w:val="263B5AEF"/>
    <w:rsid w:val="264278DB"/>
    <w:rsid w:val="264C0C16"/>
    <w:rsid w:val="265C2166"/>
    <w:rsid w:val="265F0BFF"/>
    <w:rsid w:val="26634A69"/>
    <w:rsid w:val="266741FA"/>
    <w:rsid w:val="266D7F76"/>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58FE"/>
    <w:rsid w:val="272B0B6C"/>
    <w:rsid w:val="272F5B33"/>
    <w:rsid w:val="27304E3B"/>
    <w:rsid w:val="273278B9"/>
    <w:rsid w:val="27350F58"/>
    <w:rsid w:val="27352C28"/>
    <w:rsid w:val="274137B8"/>
    <w:rsid w:val="27436F3A"/>
    <w:rsid w:val="27443C03"/>
    <w:rsid w:val="27453A80"/>
    <w:rsid w:val="27464C4E"/>
    <w:rsid w:val="27492177"/>
    <w:rsid w:val="274E24A7"/>
    <w:rsid w:val="27501448"/>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D4EF3"/>
    <w:rsid w:val="286E5E65"/>
    <w:rsid w:val="28720727"/>
    <w:rsid w:val="28731DF8"/>
    <w:rsid w:val="28735C4C"/>
    <w:rsid w:val="287F0A90"/>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0827"/>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300663FF"/>
    <w:rsid w:val="30086A93"/>
    <w:rsid w:val="300D55ED"/>
    <w:rsid w:val="300D7B1B"/>
    <w:rsid w:val="300F21EC"/>
    <w:rsid w:val="300F767A"/>
    <w:rsid w:val="30176BA2"/>
    <w:rsid w:val="301B4680"/>
    <w:rsid w:val="302608B5"/>
    <w:rsid w:val="302719FF"/>
    <w:rsid w:val="302722EF"/>
    <w:rsid w:val="30293768"/>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5020"/>
    <w:rsid w:val="32B6723D"/>
    <w:rsid w:val="32B96607"/>
    <w:rsid w:val="32C03F88"/>
    <w:rsid w:val="32C724B2"/>
    <w:rsid w:val="32CA583F"/>
    <w:rsid w:val="32CE143A"/>
    <w:rsid w:val="32CF6BAC"/>
    <w:rsid w:val="32D02EA3"/>
    <w:rsid w:val="32D11F5D"/>
    <w:rsid w:val="32D701DF"/>
    <w:rsid w:val="32D965B1"/>
    <w:rsid w:val="32DE0520"/>
    <w:rsid w:val="32DE651E"/>
    <w:rsid w:val="32E53D77"/>
    <w:rsid w:val="32E97B15"/>
    <w:rsid w:val="32EB3D2E"/>
    <w:rsid w:val="32F92807"/>
    <w:rsid w:val="33011E51"/>
    <w:rsid w:val="330438C3"/>
    <w:rsid w:val="330745A8"/>
    <w:rsid w:val="33076F74"/>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8C7E79"/>
    <w:rsid w:val="33915561"/>
    <w:rsid w:val="33952B15"/>
    <w:rsid w:val="33953748"/>
    <w:rsid w:val="339D641B"/>
    <w:rsid w:val="339F747C"/>
    <w:rsid w:val="33A06ADA"/>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5FD54A1"/>
    <w:rsid w:val="36057172"/>
    <w:rsid w:val="36062003"/>
    <w:rsid w:val="36075703"/>
    <w:rsid w:val="3614761D"/>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D58E1"/>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837A2"/>
    <w:rsid w:val="386A063C"/>
    <w:rsid w:val="386A7858"/>
    <w:rsid w:val="386C3F44"/>
    <w:rsid w:val="386D00F9"/>
    <w:rsid w:val="386D1AD0"/>
    <w:rsid w:val="3873360F"/>
    <w:rsid w:val="38792B07"/>
    <w:rsid w:val="387C2345"/>
    <w:rsid w:val="387C7F35"/>
    <w:rsid w:val="3888709C"/>
    <w:rsid w:val="38934774"/>
    <w:rsid w:val="389970CB"/>
    <w:rsid w:val="389D435C"/>
    <w:rsid w:val="38A33F35"/>
    <w:rsid w:val="38A67496"/>
    <w:rsid w:val="38AA3E53"/>
    <w:rsid w:val="38AB3864"/>
    <w:rsid w:val="38AE6A06"/>
    <w:rsid w:val="38B26579"/>
    <w:rsid w:val="38B73B4E"/>
    <w:rsid w:val="38C15CD1"/>
    <w:rsid w:val="38C167A3"/>
    <w:rsid w:val="38CC71AC"/>
    <w:rsid w:val="38CD20AE"/>
    <w:rsid w:val="38D111F2"/>
    <w:rsid w:val="38D866AB"/>
    <w:rsid w:val="38DF7E59"/>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E133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A04307"/>
    <w:rsid w:val="39A703A5"/>
    <w:rsid w:val="39AD2665"/>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D3FFB"/>
    <w:rsid w:val="3A3325F3"/>
    <w:rsid w:val="3A344169"/>
    <w:rsid w:val="3A3530C5"/>
    <w:rsid w:val="3A3F063C"/>
    <w:rsid w:val="3A427FBB"/>
    <w:rsid w:val="3A497F4C"/>
    <w:rsid w:val="3A4C1715"/>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D3DDC"/>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320EF"/>
    <w:rsid w:val="3C4C3D85"/>
    <w:rsid w:val="3C4D6B5C"/>
    <w:rsid w:val="3C4F0273"/>
    <w:rsid w:val="3C5532AC"/>
    <w:rsid w:val="3C570BF0"/>
    <w:rsid w:val="3C5775B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4693E"/>
    <w:rsid w:val="41F553C7"/>
    <w:rsid w:val="41FD3BFE"/>
    <w:rsid w:val="41FE5D66"/>
    <w:rsid w:val="42080B34"/>
    <w:rsid w:val="420C2676"/>
    <w:rsid w:val="421E7A97"/>
    <w:rsid w:val="421F0F55"/>
    <w:rsid w:val="421F2718"/>
    <w:rsid w:val="422B1696"/>
    <w:rsid w:val="422C5052"/>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A13D1"/>
    <w:rsid w:val="43BB11FD"/>
    <w:rsid w:val="43BD2FE6"/>
    <w:rsid w:val="43C0251E"/>
    <w:rsid w:val="43C116FF"/>
    <w:rsid w:val="43C157EF"/>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63A3C"/>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297F"/>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450E5"/>
    <w:rsid w:val="45756A52"/>
    <w:rsid w:val="45760B6E"/>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615E3"/>
    <w:rsid w:val="466D0B7B"/>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87A47"/>
    <w:rsid w:val="4BA42BD9"/>
    <w:rsid w:val="4BAE122E"/>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4166CC"/>
    <w:rsid w:val="4C433833"/>
    <w:rsid w:val="4C437595"/>
    <w:rsid w:val="4C452FFF"/>
    <w:rsid w:val="4C4E4107"/>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B477A0"/>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835C1"/>
    <w:rsid w:val="503A4A06"/>
    <w:rsid w:val="50421FAC"/>
    <w:rsid w:val="504827D0"/>
    <w:rsid w:val="50551A7C"/>
    <w:rsid w:val="50590640"/>
    <w:rsid w:val="505A1971"/>
    <w:rsid w:val="505B00FA"/>
    <w:rsid w:val="506468A8"/>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562916"/>
    <w:rsid w:val="515874EA"/>
    <w:rsid w:val="515B34F5"/>
    <w:rsid w:val="516261BC"/>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15017"/>
    <w:rsid w:val="52B27F37"/>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57A28"/>
    <w:rsid w:val="547A5E91"/>
    <w:rsid w:val="547B4B3F"/>
    <w:rsid w:val="547C6DF6"/>
    <w:rsid w:val="548A4E03"/>
    <w:rsid w:val="5492780C"/>
    <w:rsid w:val="54956E77"/>
    <w:rsid w:val="54986023"/>
    <w:rsid w:val="549D0D73"/>
    <w:rsid w:val="54AB3A01"/>
    <w:rsid w:val="54AF4B43"/>
    <w:rsid w:val="54B65383"/>
    <w:rsid w:val="54B74AF7"/>
    <w:rsid w:val="54B84FDF"/>
    <w:rsid w:val="54BA3083"/>
    <w:rsid w:val="54BF5F87"/>
    <w:rsid w:val="54C330AC"/>
    <w:rsid w:val="54C95C5D"/>
    <w:rsid w:val="54D37E2F"/>
    <w:rsid w:val="54D720E6"/>
    <w:rsid w:val="54D76B98"/>
    <w:rsid w:val="54DC1A26"/>
    <w:rsid w:val="54DE407A"/>
    <w:rsid w:val="54E95AD8"/>
    <w:rsid w:val="54F651B3"/>
    <w:rsid w:val="54F66DE2"/>
    <w:rsid w:val="55067A91"/>
    <w:rsid w:val="5514461C"/>
    <w:rsid w:val="55177AB5"/>
    <w:rsid w:val="551D5716"/>
    <w:rsid w:val="551E5F55"/>
    <w:rsid w:val="5522463A"/>
    <w:rsid w:val="55233B35"/>
    <w:rsid w:val="55237F70"/>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7B72"/>
    <w:rsid w:val="560C7E69"/>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3054"/>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9B78BC"/>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64DC8"/>
    <w:rsid w:val="580B1B9C"/>
    <w:rsid w:val="580C58DD"/>
    <w:rsid w:val="5810000C"/>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C10669"/>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D3062"/>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31333"/>
    <w:rsid w:val="5BFA1A95"/>
    <w:rsid w:val="5BFB4AA1"/>
    <w:rsid w:val="5BFD39FA"/>
    <w:rsid w:val="5C0347DA"/>
    <w:rsid w:val="5C071023"/>
    <w:rsid w:val="5C1362D3"/>
    <w:rsid w:val="5C144649"/>
    <w:rsid w:val="5C211940"/>
    <w:rsid w:val="5C23504C"/>
    <w:rsid w:val="5C2C0B98"/>
    <w:rsid w:val="5C352582"/>
    <w:rsid w:val="5C360489"/>
    <w:rsid w:val="5C3767CF"/>
    <w:rsid w:val="5C390577"/>
    <w:rsid w:val="5C3F5EE9"/>
    <w:rsid w:val="5C413E99"/>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06F9F"/>
    <w:rsid w:val="5DC22768"/>
    <w:rsid w:val="5DC3433E"/>
    <w:rsid w:val="5DC8549E"/>
    <w:rsid w:val="5DCE7B78"/>
    <w:rsid w:val="5DCF3D17"/>
    <w:rsid w:val="5DD3278D"/>
    <w:rsid w:val="5DE2734E"/>
    <w:rsid w:val="5DE444C7"/>
    <w:rsid w:val="5DE449D7"/>
    <w:rsid w:val="5DE44E7A"/>
    <w:rsid w:val="5DF2566B"/>
    <w:rsid w:val="5DF26221"/>
    <w:rsid w:val="5DF27979"/>
    <w:rsid w:val="5DF3485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80E96"/>
    <w:rsid w:val="5FE96661"/>
    <w:rsid w:val="5FF03685"/>
    <w:rsid w:val="5FF44B73"/>
    <w:rsid w:val="5FF70698"/>
    <w:rsid w:val="5FFC2AE4"/>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07DEC"/>
    <w:rsid w:val="60460B23"/>
    <w:rsid w:val="60475A2A"/>
    <w:rsid w:val="604B32E6"/>
    <w:rsid w:val="604F7EA6"/>
    <w:rsid w:val="60502B41"/>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61A64"/>
    <w:rsid w:val="644A2959"/>
    <w:rsid w:val="644D7682"/>
    <w:rsid w:val="644E6CB6"/>
    <w:rsid w:val="64525DD3"/>
    <w:rsid w:val="64535672"/>
    <w:rsid w:val="64574EB1"/>
    <w:rsid w:val="64686A65"/>
    <w:rsid w:val="646A011B"/>
    <w:rsid w:val="646B3F3E"/>
    <w:rsid w:val="646D1CD3"/>
    <w:rsid w:val="6476698F"/>
    <w:rsid w:val="647B6BF9"/>
    <w:rsid w:val="647D6981"/>
    <w:rsid w:val="647E5324"/>
    <w:rsid w:val="64827BE0"/>
    <w:rsid w:val="64882E0B"/>
    <w:rsid w:val="649253FB"/>
    <w:rsid w:val="64935771"/>
    <w:rsid w:val="64974A1E"/>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55AA9"/>
    <w:rsid w:val="657701D4"/>
    <w:rsid w:val="657763D1"/>
    <w:rsid w:val="6577679C"/>
    <w:rsid w:val="65807AD8"/>
    <w:rsid w:val="65822FE0"/>
    <w:rsid w:val="65886C99"/>
    <w:rsid w:val="658B3278"/>
    <w:rsid w:val="659B3091"/>
    <w:rsid w:val="659F52F3"/>
    <w:rsid w:val="65A16EE2"/>
    <w:rsid w:val="65AA2639"/>
    <w:rsid w:val="65AB206F"/>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F566D"/>
    <w:rsid w:val="67477A3D"/>
    <w:rsid w:val="674836B0"/>
    <w:rsid w:val="674A7242"/>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3D5E4D"/>
    <w:rsid w:val="68434890"/>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1EF2"/>
    <w:rsid w:val="6A904CE3"/>
    <w:rsid w:val="6A984426"/>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27F9F"/>
    <w:rsid w:val="6B240EAB"/>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3FC1"/>
    <w:rsid w:val="6B7357C3"/>
    <w:rsid w:val="6B7929E4"/>
    <w:rsid w:val="6B7B270E"/>
    <w:rsid w:val="6B7F2048"/>
    <w:rsid w:val="6B832B21"/>
    <w:rsid w:val="6B867E5C"/>
    <w:rsid w:val="6B88607A"/>
    <w:rsid w:val="6B8F6AA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BF25A5"/>
    <w:rsid w:val="6CC328D3"/>
    <w:rsid w:val="6CC57B57"/>
    <w:rsid w:val="6CC97063"/>
    <w:rsid w:val="6CCB0028"/>
    <w:rsid w:val="6CCB0C6B"/>
    <w:rsid w:val="6CCB2D0A"/>
    <w:rsid w:val="6CCF1159"/>
    <w:rsid w:val="6CD11253"/>
    <w:rsid w:val="6CD217F1"/>
    <w:rsid w:val="6CD501EC"/>
    <w:rsid w:val="6CDB1336"/>
    <w:rsid w:val="6CDD0DF7"/>
    <w:rsid w:val="6CDE0B26"/>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17749"/>
    <w:rsid w:val="6D435C77"/>
    <w:rsid w:val="6D457E3C"/>
    <w:rsid w:val="6D470A7E"/>
    <w:rsid w:val="6D4C4DFE"/>
    <w:rsid w:val="6D4C5E69"/>
    <w:rsid w:val="6D537D1B"/>
    <w:rsid w:val="6D5A2C9B"/>
    <w:rsid w:val="6D5E0B4C"/>
    <w:rsid w:val="6D5E1190"/>
    <w:rsid w:val="6D611D78"/>
    <w:rsid w:val="6D6135F4"/>
    <w:rsid w:val="6D644AC3"/>
    <w:rsid w:val="6D661353"/>
    <w:rsid w:val="6D6C1597"/>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E6EA0"/>
    <w:rsid w:val="6DFC7B9F"/>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821C53"/>
    <w:rsid w:val="6F8426D4"/>
    <w:rsid w:val="6F897F4B"/>
    <w:rsid w:val="6F8C5AA5"/>
    <w:rsid w:val="6F8F537D"/>
    <w:rsid w:val="6F94219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418E4"/>
    <w:rsid w:val="75076022"/>
    <w:rsid w:val="750D05D3"/>
    <w:rsid w:val="750E04AA"/>
    <w:rsid w:val="750E7F2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9614B"/>
    <w:rsid w:val="75CD7D4D"/>
    <w:rsid w:val="75D44B9C"/>
    <w:rsid w:val="75D6554E"/>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D23B7E"/>
    <w:rsid w:val="78DD15DB"/>
    <w:rsid w:val="78DE5479"/>
    <w:rsid w:val="78E10719"/>
    <w:rsid w:val="78F14E36"/>
    <w:rsid w:val="78F2041F"/>
    <w:rsid w:val="78FB7710"/>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6C3F53"/>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B2FA5"/>
    <w:rsid w:val="7B2D37CA"/>
    <w:rsid w:val="7B37278E"/>
    <w:rsid w:val="7B3D3CB9"/>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62833"/>
    <w:rsid w:val="7CE807C9"/>
    <w:rsid w:val="7CEB0513"/>
    <w:rsid w:val="7CEB2C45"/>
    <w:rsid w:val="7CEC1C44"/>
    <w:rsid w:val="7CF46A63"/>
    <w:rsid w:val="7CF71D37"/>
    <w:rsid w:val="7CFD2D79"/>
    <w:rsid w:val="7CFF767A"/>
    <w:rsid w:val="7D0D5C05"/>
    <w:rsid w:val="7D156617"/>
    <w:rsid w:val="7D1C11AE"/>
    <w:rsid w:val="7D1C227F"/>
    <w:rsid w:val="7D1D697A"/>
    <w:rsid w:val="7D221C27"/>
    <w:rsid w:val="7D244B90"/>
    <w:rsid w:val="7D274210"/>
    <w:rsid w:val="7D290568"/>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B6E9F"/>
    <w:rsid w:val="7E1C7387"/>
    <w:rsid w:val="7E1D54AF"/>
    <w:rsid w:val="7E2D53BF"/>
    <w:rsid w:val="7E2F4A5F"/>
    <w:rsid w:val="7E327A15"/>
    <w:rsid w:val="7E3B51FA"/>
    <w:rsid w:val="7E3D2B8F"/>
    <w:rsid w:val="7E403F72"/>
    <w:rsid w:val="7E42756E"/>
    <w:rsid w:val="7E4854DF"/>
    <w:rsid w:val="7E514216"/>
    <w:rsid w:val="7E5B6848"/>
    <w:rsid w:val="7E665777"/>
    <w:rsid w:val="7E6672A9"/>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4537"/>
    <w:rsid w:val="7FA0015B"/>
    <w:rsid w:val="7FA83506"/>
    <w:rsid w:val="7FB0347F"/>
    <w:rsid w:val="7FB81DF3"/>
    <w:rsid w:val="7FBD4EB0"/>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17</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2021-05-11T12:30:25Z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